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594" w:rsidRPr="00EC7D1D" w:rsidRDefault="00172594" w:rsidP="00172594">
      <w:pPr>
        <w:pStyle w:val="Mario"/>
        <w:numPr>
          <w:ilvl w:val="2"/>
          <w:numId w:val="3"/>
        </w:numPr>
        <w:tabs>
          <w:tab w:val="left" w:pos="993"/>
        </w:tabs>
        <w:spacing w:line="100" w:lineRule="atLeast"/>
        <w:ind w:left="993" w:hanging="993"/>
        <w:rPr>
          <w:rFonts w:cs="Arial"/>
          <w:b/>
          <w:bCs/>
          <w:sz w:val="22"/>
          <w:szCs w:val="22"/>
        </w:rPr>
      </w:pPr>
      <w:r w:rsidRPr="00EC7D1D">
        <w:rPr>
          <w:rFonts w:eastAsia="Calibri" w:cs="Arial"/>
          <w:b/>
          <w:sz w:val="22"/>
          <w:szCs w:val="22"/>
        </w:rPr>
        <w:t xml:space="preserve">Wymagania techniczne dla oznakowania pojazdu. </w:t>
      </w:r>
    </w:p>
    <w:p w:rsidR="00172594" w:rsidRDefault="00172594" w:rsidP="00172594">
      <w:pPr>
        <w:widowControl/>
        <w:numPr>
          <w:ilvl w:val="3"/>
          <w:numId w:val="3"/>
        </w:numPr>
        <w:tabs>
          <w:tab w:val="left" w:pos="993"/>
        </w:tabs>
        <w:spacing w:line="24" w:lineRule="atLeast"/>
        <w:ind w:hanging="2073"/>
        <w:jc w:val="both"/>
        <w:rPr>
          <w:rFonts w:ascii="Arial" w:eastAsia="Calibri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</w:rPr>
        <w:t>Pojazd musi:</w:t>
      </w:r>
    </w:p>
    <w:p w:rsidR="00172594" w:rsidRPr="00EC7D1D" w:rsidRDefault="00172594" w:rsidP="00172594">
      <w:pPr>
        <w:widowControl/>
        <w:tabs>
          <w:tab w:val="left" w:pos="993"/>
        </w:tabs>
        <w:spacing w:line="24" w:lineRule="atLeast"/>
        <w:ind w:left="2073"/>
        <w:jc w:val="both"/>
        <w:rPr>
          <w:rFonts w:ascii="Arial" w:eastAsia="Calibri" w:hAnsi="Arial" w:cs="Arial"/>
          <w:sz w:val="22"/>
          <w:szCs w:val="22"/>
        </w:rPr>
      </w:pPr>
    </w:p>
    <w:p w:rsidR="00172594" w:rsidRPr="00EC7D1D" w:rsidRDefault="00172594" w:rsidP="00172594">
      <w:pPr>
        <w:numPr>
          <w:ilvl w:val="0"/>
          <w:numId w:val="1"/>
        </w:numPr>
        <w:tabs>
          <w:tab w:val="left" w:pos="851"/>
        </w:tabs>
        <w:spacing w:line="100" w:lineRule="atLeast"/>
        <w:ind w:left="1440" w:right="-15" w:hanging="480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być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oznakowany zgodnie z wymaganiami określonymi w § 31 ust. 1 Rozporządzenia Ministra Infrastruktury z dnia 31 grudnia 2002 r. w sprawie warunków technicznych pojazdów oraz zakresu ich niezbędnego wyposażenia. Odblaskowy napis „POLICJA” barwy białej musi być umieszczony po obu stronach pojazdu na pasie wyróżniającym na drzwiach I rzędu siedzeń. </w:t>
      </w:r>
    </w:p>
    <w:p w:rsidR="00172594" w:rsidRPr="00EC7D1D" w:rsidRDefault="00172594" w:rsidP="00172594">
      <w:pPr>
        <w:numPr>
          <w:ilvl w:val="0"/>
          <w:numId w:val="1"/>
        </w:numPr>
        <w:tabs>
          <w:tab w:val="left" w:pos="851"/>
        </w:tabs>
        <w:spacing w:line="100" w:lineRule="atLeast"/>
        <w:ind w:left="1440" w:right="-15" w:hanging="480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posiadać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odblaskowy napis „POLICJA” barwy białej umieszczony z przodu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br/>
        <w:t xml:space="preserve">i z tyłu pojazdu, przy czym napis z przodu musi znajdować się na </w:t>
      </w:r>
      <w:proofErr w:type="spellStart"/>
      <w:r w:rsidRPr="00EC7D1D">
        <w:rPr>
          <w:rFonts w:ascii="Arial" w:eastAsia="Calibri" w:hAnsi="Arial" w:cs="Arial"/>
          <w:sz w:val="22"/>
          <w:szCs w:val="22"/>
          <w:lang w:eastAsia="en-US"/>
        </w:rPr>
        <w:t>nieodblaskowej</w:t>
      </w:r>
      <w:proofErr w:type="spell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powierzchni o barwie niebieskiej, a z tyłu na pasie wyróżniającym.</w:t>
      </w:r>
    </w:p>
    <w:p w:rsidR="00172594" w:rsidRPr="00EC7D1D" w:rsidRDefault="00172594" w:rsidP="00172594">
      <w:pPr>
        <w:numPr>
          <w:ilvl w:val="0"/>
          <w:numId w:val="1"/>
        </w:numPr>
        <w:tabs>
          <w:tab w:val="left" w:pos="851"/>
        </w:tabs>
        <w:spacing w:line="100" w:lineRule="atLeast"/>
        <w:ind w:left="1440" w:right="-15" w:hanging="480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posiadać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znak gwiazdy policyjnej po obu stronach pojazdu na pasie wyróżniającym i z przodu nad napisem „POLICJA”. </w:t>
      </w:r>
    </w:p>
    <w:p w:rsidR="00172594" w:rsidRPr="00EC7D1D" w:rsidRDefault="00172594" w:rsidP="00172594">
      <w:pPr>
        <w:numPr>
          <w:ilvl w:val="0"/>
          <w:numId w:val="1"/>
        </w:numPr>
        <w:tabs>
          <w:tab w:val="left" w:pos="851"/>
        </w:tabs>
        <w:spacing w:line="100" w:lineRule="atLeast"/>
        <w:ind w:left="1440" w:right="-15" w:hanging="480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napis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C7D1D">
        <w:rPr>
          <w:rFonts w:ascii="Arial" w:hAnsi="Arial" w:cs="Arial"/>
          <w:sz w:val="22"/>
          <w:szCs w:val="22"/>
          <w:lang w:eastAsia="en-US"/>
        </w:rPr>
        <w:t>„POMAGAMY I CHRONIMY” umieszczony półkolem nad znakiem gwiazdy policyjnej. Minimalna średnica gwiazdy policyjnej wraz z napisem „POMAGAMY I CHRONIMY” na boku pojazdu musi wynosić 200 mm.</w:t>
      </w:r>
    </w:p>
    <w:p w:rsidR="00172594" w:rsidRPr="00EC7D1D" w:rsidRDefault="00172594" w:rsidP="00172594">
      <w:pPr>
        <w:numPr>
          <w:ilvl w:val="0"/>
          <w:numId w:val="1"/>
        </w:numPr>
        <w:tabs>
          <w:tab w:val="left" w:pos="851"/>
        </w:tabs>
        <w:spacing w:line="100" w:lineRule="atLeast"/>
        <w:ind w:left="1440" w:right="-15" w:hanging="480"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  <w:lang w:eastAsia="en-US"/>
        </w:rPr>
        <w:t>posiadać</w:t>
      </w:r>
      <w:proofErr w:type="gramEnd"/>
      <w:r w:rsidRPr="00EC7D1D">
        <w:rPr>
          <w:rFonts w:ascii="Arial" w:hAnsi="Arial" w:cs="Arial"/>
          <w:sz w:val="22"/>
          <w:szCs w:val="22"/>
          <w:lang w:eastAsia="en-US"/>
        </w:rPr>
        <w:t xml:space="preserve"> pasy odblaskowe barwy żółto-zielonej fluorescencyjnej po obu stronach oraz z przodu i z tyłu pojazdu umieszczone z dostosowaniem do linii nadwozia na górnej i dolnej części pojazdu. </w:t>
      </w:r>
    </w:p>
    <w:p w:rsidR="00172594" w:rsidRPr="00A93963" w:rsidRDefault="00172594" w:rsidP="00172594">
      <w:pPr>
        <w:tabs>
          <w:tab w:val="left" w:pos="851"/>
        </w:tabs>
        <w:spacing w:line="100" w:lineRule="atLeast"/>
        <w:ind w:left="993" w:right="-15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 xml:space="preserve">Wymagania w zakresie sposobu wykonania oznakowania pojazdu zostały określone w załączniku nr 1. </w:t>
      </w:r>
    </w:p>
    <w:p w:rsidR="00172594" w:rsidRPr="00EC7D1D" w:rsidRDefault="00172594" w:rsidP="00172594">
      <w:pPr>
        <w:tabs>
          <w:tab w:val="left" w:pos="851"/>
        </w:tabs>
        <w:spacing w:line="100" w:lineRule="atLeast"/>
        <w:ind w:left="993" w:right="-15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Pojazd musi dodatkowo posiadać na wewnętrznej stronie drzwi przednich, tylnych i klapie przestrzeni bagażowej dodatkowe elementy wykonane z foli odblaskowej w kolorze czerwonym. Wykonawca przy tworzeniu oferty musi założyć, że dodatkowe elementy wykonane z foli odblaskowej w kolorze czerwonym umieszczone na poszczególnych elementach nadwozia będą miały wymiary: dł. 500 mm, szer. 50 mm,</w:t>
      </w:r>
    </w:p>
    <w:p w:rsidR="00172594" w:rsidRPr="00EC7D1D" w:rsidRDefault="00172594" w:rsidP="00172594">
      <w:pPr>
        <w:tabs>
          <w:tab w:val="left" w:pos="851"/>
        </w:tabs>
        <w:spacing w:line="100" w:lineRule="atLeast"/>
        <w:ind w:left="993" w:right="-15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Ostateczne wymiary elementów oznakowania zostaną określone przez Zamawiającego po rozstrzygnięciu przetargu i podaniu przez Wykonawcę niezbędnych wymiarów nadwozia oferowanego pojazdu na etapie konsultacji technicznych i oceny projektu modyfikacji pojazdu.</w:t>
      </w:r>
    </w:p>
    <w:p w:rsidR="00172594" w:rsidRPr="00EC7D1D" w:rsidRDefault="00172594" w:rsidP="00172594">
      <w:pPr>
        <w:tabs>
          <w:tab w:val="left" w:pos="851"/>
        </w:tabs>
        <w:spacing w:line="100" w:lineRule="atLeast"/>
        <w:ind w:left="1440" w:right="-15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72594" w:rsidRPr="00EC7D1D" w:rsidRDefault="00172594" w:rsidP="00172594">
      <w:pPr>
        <w:widowControl/>
        <w:numPr>
          <w:ilvl w:val="3"/>
          <w:numId w:val="3"/>
        </w:numPr>
        <w:tabs>
          <w:tab w:val="left" w:pos="993"/>
        </w:tabs>
        <w:suppressAutoHyphens w:val="0"/>
        <w:spacing w:line="200" w:lineRule="atLeast"/>
        <w:ind w:left="993" w:hanging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</w:rPr>
        <w:t>Materiały użyte do wykonania oznakowania muszą spełniać wymagania określone w załączniku nr 2.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172594" w:rsidRPr="00EC7D1D" w:rsidRDefault="00172594" w:rsidP="00172594">
      <w:pPr>
        <w:widowControl/>
        <w:tabs>
          <w:tab w:val="left" w:pos="993"/>
        </w:tabs>
        <w:spacing w:line="200" w:lineRule="atLeast"/>
        <w:ind w:left="993"/>
        <w:jc w:val="both"/>
        <w:rPr>
          <w:rFonts w:ascii="Arial" w:eastAsia="Calibri" w:hAnsi="Arial" w:cs="Arial"/>
          <w:b/>
          <w:sz w:val="22"/>
          <w:szCs w:val="22"/>
        </w:rPr>
      </w:pPr>
    </w:p>
    <w:p w:rsidR="00172594" w:rsidRPr="00EC7D1D" w:rsidRDefault="00172594" w:rsidP="00172594">
      <w:pPr>
        <w:widowControl/>
        <w:suppressAutoHyphens w:val="0"/>
        <w:ind w:left="993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</w:rPr>
        <w:t xml:space="preserve">Spełnienie wymogu musi być potwierdzone oświadczeniem Wykonawcy wystawionym na podstawie sprawozdania z badań wydanego przez krajowe laboratorium akredytowane w zakresie badań materiałów odblaskowych. 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Dokument potwierdzający spełnienie wymogu musi być przekazany Zamawiającemu przez Wykonawcę w fazie oceny projektu modyfikacji pojazdu.</w:t>
      </w:r>
    </w:p>
    <w:p w:rsidR="00172594" w:rsidRPr="00EC7D1D" w:rsidRDefault="00172594" w:rsidP="00172594">
      <w:pPr>
        <w:widowControl/>
        <w:tabs>
          <w:tab w:val="left" w:pos="993"/>
        </w:tabs>
        <w:spacing w:line="200" w:lineRule="atLeast"/>
        <w:ind w:left="993"/>
        <w:jc w:val="both"/>
        <w:rPr>
          <w:rFonts w:ascii="Arial" w:eastAsia="Calibri" w:hAnsi="Arial" w:cs="Arial"/>
          <w:b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Materiały muszą zapewniać możliwość ich demontażu bez uszkodzeń powłoki lakierniczej zgodnie z instrukcją dostarczoną przez Wykonawcę.</w:t>
      </w:r>
    </w:p>
    <w:p w:rsidR="00172594" w:rsidRPr="00EC7D1D" w:rsidRDefault="00172594" w:rsidP="00172594">
      <w:pPr>
        <w:jc w:val="both"/>
        <w:rPr>
          <w:rFonts w:ascii="Arial" w:hAnsi="Arial" w:cs="Arial"/>
          <w:b/>
          <w:sz w:val="22"/>
          <w:szCs w:val="22"/>
        </w:rPr>
      </w:pPr>
    </w:p>
    <w:p w:rsidR="00172594" w:rsidRDefault="00172594" w:rsidP="00172594">
      <w:pPr>
        <w:ind w:left="993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hAnsi="Arial" w:cs="Arial"/>
          <w:b/>
          <w:sz w:val="22"/>
          <w:szCs w:val="22"/>
        </w:rPr>
        <w:t>Spełnienie wymagań określonych pkt. 1.5.7, o ile nie zostały szczegółowo opisane w poszczególnych punktach, muszą być potwierdzone oświadczeniem Wykonawcy oraz pozytywnym wynikiem oględzin dokonanych przez przedstawicieli Zamawiającego w fazie oceny projektu modyfikacji pojazdu</w:t>
      </w:r>
      <w:r w:rsidRPr="00EC7D1D">
        <w:rPr>
          <w:rFonts w:ascii="Arial" w:hAnsi="Arial" w:cs="Arial"/>
          <w:sz w:val="22"/>
          <w:szCs w:val="22"/>
        </w:rPr>
        <w:t xml:space="preserve">. 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Dokument potwierdzający spełnienie wymogu musi być przekazany Zamawiającemu przez Wykonawcę w fazie oceny projektu modyfikacji pojazdu.</w:t>
      </w:r>
    </w:p>
    <w:p w:rsidR="00316E1C" w:rsidRPr="00EC7D1D" w:rsidRDefault="00316E1C" w:rsidP="00316E1C">
      <w:pPr>
        <w:pStyle w:val="Mario"/>
        <w:spacing w:line="100" w:lineRule="atLeast"/>
        <w:rPr>
          <w:rFonts w:cs="Arial"/>
          <w:sz w:val="22"/>
          <w:szCs w:val="22"/>
        </w:rPr>
      </w:pPr>
    </w:p>
    <w:p w:rsidR="00316E1C" w:rsidRPr="00EC7D1D" w:rsidRDefault="00316E1C" w:rsidP="00316E1C">
      <w:pPr>
        <w:pStyle w:val="Mario"/>
        <w:spacing w:line="100" w:lineRule="atLeast"/>
        <w:rPr>
          <w:rFonts w:cs="Arial"/>
          <w:sz w:val="22"/>
          <w:szCs w:val="22"/>
        </w:rPr>
      </w:pPr>
    </w:p>
    <w:p w:rsidR="00316E1C" w:rsidRPr="00EC7D1D" w:rsidRDefault="00316E1C" w:rsidP="00316E1C">
      <w:pPr>
        <w:pStyle w:val="Mario"/>
        <w:spacing w:line="100" w:lineRule="atLeast"/>
        <w:rPr>
          <w:rFonts w:cs="Arial"/>
          <w:sz w:val="22"/>
          <w:szCs w:val="22"/>
        </w:rPr>
      </w:pPr>
    </w:p>
    <w:p w:rsidR="00316E1C" w:rsidRPr="00EC7D1D" w:rsidRDefault="00316E1C" w:rsidP="00316E1C">
      <w:pPr>
        <w:widowControl/>
        <w:spacing w:line="100" w:lineRule="atLeast"/>
        <w:ind w:right="-15"/>
        <w:jc w:val="right"/>
        <w:rPr>
          <w:rFonts w:ascii="Arial" w:hAnsi="Arial" w:cs="Arial"/>
          <w:b/>
          <w:sz w:val="22"/>
          <w:szCs w:val="22"/>
        </w:rPr>
      </w:pPr>
      <w:r w:rsidRPr="00EC7D1D">
        <w:rPr>
          <w:rFonts w:ascii="Arial" w:hAnsi="Arial" w:cs="Arial"/>
          <w:b/>
          <w:sz w:val="22"/>
          <w:szCs w:val="22"/>
        </w:rPr>
        <w:lastRenderedPageBreak/>
        <w:t>Załącznik nr 1</w:t>
      </w:r>
    </w:p>
    <w:p w:rsidR="00316E1C" w:rsidRPr="00EC7D1D" w:rsidRDefault="00316E1C" w:rsidP="00316E1C">
      <w:pPr>
        <w:widowControl/>
        <w:spacing w:line="100" w:lineRule="atLeast"/>
        <w:ind w:right="-15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16E1C" w:rsidRPr="00EC7D1D" w:rsidRDefault="00316E1C" w:rsidP="00316E1C">
      <w:pPr>
        <w:widowControl/>
        <w:spacing w:line="100" w:lineRule="atLeast"/>
        <w:ind w:right="-15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16E1C" w:rsidRPr="00EC7D1D" w:rsidRDefault="00316E1C" w:rsidP="00316E1C">
      <w:pPr>
        <w:tabs>
          <w:tab w:val="left" w:pos="851"/>
        </w:tabs>
        <w:spacing w:line="100" w:lineRule="atLeast"/>
        <w:ind w:left="993" w:right="-15" w:hanging="993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Wymagania w zakresie sposobu wykonania oznakowania.</w:t>
      </w:r>
    </w:p>
    <w:p w:rsidR="00316E1C" w:rsidRPr="00EC7D1D" w:rsidRDefault="00316E1C" w:rsidP="00316E1C">
      <w:pPr>
        <w:widowControl/>
        <w:spacing w:line="100" w:lineRule="atLeast"/>
        <w:ind w:right="-15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16E1C" w:rsidRPr="00EC7D1D" w:rsidRDefault="00316E1C" w:rsidP="00316E1C">
      <w:pPr>
        <w:widowControl/>
        <w:numPr>
          <w:ilvl w:val="0"/>
          <w:numId w:val="7"/>
        </w:numPr>
        <w:tabs>
          <w:tab w:val="left" w:pos="567"/>
        </w:tabs>
        <w:spacing w:line="100" w:lineRule="atLeast"/>
        <w:ind w:left="1701" w:right="-15" w:hanging="1701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C7D1D">
        <w:rPr>
          <w:rFonts w:ascii="Arial" w:hAnsi="Arial" w:cs="Arial"/>
          <w:b/>
          <w:sz w:val="22"/>
          <w:szCs w:val="22"/>
          <w:u w:val="single"/>
        </w:rPr>
        <w:t>Pasy odblaskowe wyróżniające barwy niebieskiej.</w:t>
      </w:r>
    </w:p>
    <w:p w:rsidR="00316E1C" w:rsidRPr="00EC7D1D" w:rsidRDefault="00316E1C" w:rsidP="00316E1C">
      <w:pPr>
        <w:widowControl/>
        <w:tabs>
          <w:tab w:val="left" w:pos="851"/>
        </w:tabs>
        <w:spacing w:line="100" w:lineRule="atLeast"/>
        <w:ind w:left="567" w:right="-15"/>
        <w:contextualSpacing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 xml:space="preserve">Pasy odblaskowe wyróżniające barwy niebieskiej muszą być umieszczone na obu bokach i z tyłu pojazdu. Wymiary pasów muszą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być dostosowane do linii nadwozia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br/>
        <w:t xml:space="preserve">i zapewniać dobrą widoczność pasów z boku i tyłu pojazdu. Promienie zaokrągleń narożników elementów pasów muszą wynosić (5 ± 0,5) mm. </w:t>
      </w:r>
      <w:r w:rsidRPr="00EC7D1D">
        <w:rPr>
          <w:rFonts w:ascii="Arial" w:hAnsi="Arial" w:cs="Arial"/>
          <w:sz w:val="22"/>
          <w:szCs w:val="22"/>
        </w:rPr>
        <w:t xml:space="preserve">Przerwy technologiczne pomiędzy elementami pasów oraz elementami pasów a krawędziami i załamaniami elementów nadwozia muszą wynosić (5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± 0,5) </w:t>
      </w:r>
      <w:r w:rsidRPr="00EC7D1D">
        <w:rPr>
          <w:rFonts w:ascii="Arial" w:hAnsi="Arial" w:cs="Arial"/>
          <w:sz w:val="22"/>
          <w:szCs w:val="22"/>
        </w:rPr>
        <w:t>mm.</w:t>
      </w:r>
    </w:p>
    <w:p w:rsidR="00316E1C" w:rsidRPr="00EC7D1D" w:rsidRDefault="00316E1C" w:rsidP="00316E1C">
      <w:pPr>
        <w:widowControl/>
        <w:tabs>
          <w:tab w:val="left" w:pos="567"/>
        </w:tabs>
        <w:spacing w:line="100" w:lineRule="atLeast"/>
        <w:ind w:left="567" w:right="-15" w:hanging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C7D1D">
        <w:rPr>
          <w:rFonts w:ascii="Arial" w:hAnsi="Arial" w:cs="Arial"/>
          <w:b/>
          <w:sz w:val="22"/>
          <w:szCs w:val="22"/>
        </w:rPr>
        <w:t>1.1</w:t>
      </w:r>
      <w:r w:rsidRPr="00EC7D1D">
        <w:rPr>
          <w:rFonts w:ascii="Arial" w:hAnsi="Arial" w:cs="Arial"/>
          <w:b/>
          <w:sz w:val="22"/>
          <w:szCs w:val="22"/>
        </w:rPr>
        <w:tab/>
        <w:t xml:space="preserve">Pasy wyróżniające 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po obu bokach pojazdu.</w:t>
      </w:r>
      <w:r w:rsidRPr="00EC7D1D">
        <w:rPr>
          <w:rFonts w:ascii="Arial" w:hAnsi="Arial" w:cs="Arial"/>
          <w:b/>
          <w:sz w:val="22"/>
          <w:szCs w:val="22"/>
        </w:rPr>
        <w:t xml:space="preserve"> </w:t>
      </w:r>
    </w:p>
    <w:p w:rsidR="00316E1C" w:rsidRPr="00EC7D1D" w:rsidRDefault="00316E1C" w:rsidP="00316E1C">
      <w:pPr>
        <w:widowControl/>
        <w:tabs>
          <w:tab w:val="left" w:pos="567"/>
        </w:tabs>
        <w:spacing w:line="100" w:lineRule="atLeast"/>
        <w:ind w:left="567" w:right="-15"/>
        <w:contextualSpacing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hAnsi="Arial" w:cs="Arial"/>
          <w:sz w:val="22"/>
          <w:szCs w:val="22"/>
        </w:rPr>
        <w:t>Pas wyróżniający musi być umieszczony z dostosowaniem do linii nadwozia poniżej dolnej krawędzi okien na każdym boku pojazdu. Pas musi spełniać następujące wymagania:</w:t>
      </w:r>
    </w:p>
    <w:p w:rsidR="00316E1C" w:rsidRPr="00EC7D1D" w:rsidRDefault="00316E1C" w:rsidP="00316E1C">
      <w:pPr>
        <w:widowControl/>
        <w:numPr>
          <w:ilvl w:val="1"/>
          <w:numId w:val="6"/>
        </w:numPr>
        <w:tabs>
          <w:tab w:val="left" w:pos="851"/>
        </w:tabs>
        <w:spacing w:line="100" w:lineRule="atLeast"/>
        <w:ind w:left="851" w:right="-15" w:hanging="284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pas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musi być umieszczony na całej długości obu boków pojazdu </w:t>
      </w:r>
      <w:r w:rsidRPr="00EC7D1D">
        <w:rPr>
          <w:rFonts w:ascii="Arial" w:hAnsi="Arial" w:cs="Arial"/>
          <w:sz w:val="22"/>
          <w:szCs w:val="22"/>
        </w:rPr>
        <w:br/>
        <w:t>i zwężać się w kierunku przodu nadwozia,</w:t>
      </w:r>
    </w:p>
    <w:p w:rsidR="00316E1C" w:rsidRPr="00EC7D1D" w:rsidRDefault="00316E1C" w:rsidP="00316E1C">
      <w:pPr>
        <w:widowControl/>
        <w:numPr>
          <w:ilvl w:val="1"/>
          <w:numId w:val="6"/>
        </w:numPr>
        <w:tabs>
          <w:tab w:val="left" w:pos="851"/>
        </w:tabs>
        <w:spacing w:line="100" w:lineRule="atLeast"/>
        <w:ind w:left="851" w:right="-15" w:hanging="284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różnica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szerokości tylnej i przedniej części pasa musi wynosić </w:t>
      </w:r>
      <w:r w:rsidRPr="00EC7D1D">
        <w:rPr>
          <w:rFonts w:ascii="Arial" w:hAnsi="Arial" w:cs="Arial"/>
          <w:sz w:val="22"/>
          <w:szCs w:val="22"/>
        </w:rPr>
        <w:br/>
        <w:t>ok. 10%,</w:t>
      </w:r>
    </w:p>
    <w:p w:rsidR="00316E1C" w:rsidRPr="00EC7D1D" w:rsidRDefault="00316E1C" w:rsidP="00316E1C">
      <w:pPr>
        <w:widowControl/>
        <w:numPr>
          <w:ilvl w:val="1"/>
          <w:numId w:val="6"/>
        </w:numPr>
        <w:tabs>
          <w:tab w:val="left" w:pos="851"/>
        </w:tabs>
        <w:spacing w:line="100" w:lineRule="atLeast"/>
        <w:ind w:left="851" w:right="-15" w:hanging="284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szerokość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tylnej części pasa musi wynosić minimum 320 mm, </w:t>
      </w:r>
    </w:p>
    <w:p w:rsidR="00316E1C" w:rsidRPr="00EC7D1D" w:rsidRDefault="00316E1C" w:rsidP="00316E1C">
      <w:pPr>
        <w:widowControl/>
        <w:numPr>
          <w:ilvl w:val="1"/>
          <w:numId w:val="6"/>
        </w:numPr>
        <w:tabs>
          <w:tab w:val="left" w:pos="851"/>
        </w:tabs>
        <w:spacing w:line="100" w:lineRule="atLeast"/>
        <w:ind w:left="851" w:right="-15" w:hanging="284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na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zderzaku przednim pas musi obejmować przód pojazdu do wysokości przedniej lampy głównej pojazdu,</w:t>
      </w:r>
    </w:p>
    <w:p w:rsidR="00316E1C" w:rsidRPr="00EC7D1D" w:rsidRDefault="00316E1C" w:rsidP="00316E1C">
      <w:pPr>
        <w:widowControl/>
        <w:numPr>
          <w:ilvl w:val="1"/>
          <w:numId w:val="6"/>
        </w:numPr>
        <w:tabs>
          <w:tab w:val="left" w:pos="851"/>
        </w:tabs>
        <w:spacing w:line="100" w:lineRule="atLeast"/>
        <w:ind w:left="851" w:right="-15" w:hanging="284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przy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górnej i dolnej krawędzi pasa musi być umieszczona linia wykonana </w:t>
      </w:r>
      <w:r w:rsidRPr="00EC7D1D">
        <w:rPr>
          <w:rFonts w:ascii="Arial" w:hAnsi="Arial" w:cs="Arial"/>
          <w:sz w:val="22"/>
          <w:szCs w:val="22"/>
        </w:rPr>
        <w:br/>
        <w:t xml:space="preserve">z prostokątnych elementów z folii odblaskowej barwy białej. Prostokątne elementy muszą mieć wymiary (90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± 1) </w:t>
      </w:r>
      <w:r w:rsidRPr="00EC7D1D">
        <w:rPr>
          <w:rFonts w:ascii="Arial" w:hAnsi="Arial" w:cs="Arial"/>
          <w:sz w:val="22"/>
          <w:szCs w:val="22"/>
        </w:rPr>
        <w:t xml:space="preserve">mm x (30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± 1) </w:t>
      </w:r>
      <w:r w:rsidRPr="00EC7D1D">
        <w:rPr>
          <w:rFonts w:ascii="Arial" w:hAnsi="Arial" w:cs="Arial"/>
          <w:sz w:val="22"/>
          <w:szCs w:val="22"/>
        </w:rPr>
        <w:t xml:space="preserve">mm (szerokość/wysokość), a odstęp pomiędzy poszczególnymi elementami musi wynosić (30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± 1)</w:t>
      </w:r>
      <w:r w:rsidRPr="00EC7D1D">
        <w:rPr>
          <w:rFonts w:ascii="Arial" w:hAnsi="Arial" w:cs="Arial"/>
          <w:sz w:val="22"/>
          <w:szCs w:val="22"/>
        </w:rPr>
        <w:t xml:space="preserve"> mm.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Promienie zaokrągleń narożników prostokątnych elementów muszą wynosić (5 ± 0,5) mm.</w:t>
      </w:r>
      <w:r w:rsidRPr="00EC7D1D">
        <w:rPr>
          <w:rFonts w:ascii="Arial" w:hAnsi="Arial" w:cs="Arial"/>
          <w:sz w:val="22"/>
          <w:szCs w:val="22"/>
        </w:rPr>
        <w:t xml:space="preserve"> </w:t>
      </w:r>
      <w:r w:rsidRPr="00EC7D1D">
        <w:rPr>
          <w:rFonts w:ascii="Arial" w:hAnsi="Arial" w:cs="Arial"/>
          <w:sz w:val="22"/>
          <w:szCs w:val="22"/>
        </w:rPr>
        <w:br/>
        <w:t xml:space="preserve">W miarę możliwości elementy linii górnej muszą pokrywać się w pionie </w:t>
      </w:r>
      <w:r w:rsidRPr="00EC7D1D">
        <w:rPr>
          <w:rFonts w:ascii="Arial" w:hAnsi="Arial" w:cs="Arial"/>
          <w:sz w:val="22"/>
          <w:szCs w:val="22"/>
        </w:rPr>
        <w:br/>
        <w:t xml:space="preserve">z elementami z linii dolnej. Prostokątne elementy z folii odblaskowej barwy białej nie mogą znajdować się na przedniej części pojazdu, </w:t>
      </w:r>
    </w:p>
    <w:p w:rsidR="00316E1C" w:rsidRPr="00EC7D1D" w:rsidRDefault="00316E1C" w:rsidP="00316E1C">
      <w:pPr>
        <w:widowControl/>
        <w:numPr>
          <w:ilvl w:val="1"/>
          <w:numId w:val="6"/>
        </w:numPr>
        <w:tabs>
          <w:tab w:val="left" w:pos="851"/>
        </w:tabs>
        <w:spacing w:line="100" w:lineRule="atLeast"/>
        <w:ind w:left="851" w:right="-15" w:hanging="284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pasy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po obu stronach pojazdu muszą być wykonane w identyczny sposób.</w:t>
      </w:r>
    </w:p>
    <w:p w:rsidR="00316E1C" w:rsidRPr="00EC7D1D" w:rsidRDefault="00316E1C" w:rsidP="00316E1C">
      <w:pPr>
        <w:widowControl/>
        <w:tabs>
          <w:tab w:val="left" w:pos="567"/>
        </w:tabs>
        <w:spacing w:line="100" w:lineRule="atLeast"/>
        <w:ind w:left="567" w:right="-15" w:hanging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1.2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ab/>
        <w:t>Pas wyróżniający z tyłu pojazdu.</w:t>
      </w:r>
    </w:p>
    <w:p w:rsidR="00316E1C" w:rsidRPr="00EC7D1D" w:rsidRDefault="00316E1C" w:rsidP="00316E1C">
      <w:pPr>
        <w:widowControl/>
        <w:tabs>
          <w:tab w:val="left" w:pos="2268"/>
        </w:tabs>
        <w:spacing w:line="100" w:lineRule="atLeast"/>
        <w:ind w:left="567" w:right="-15"/>
        <w:contextualSpacing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Pas wyróżniający musi być umieszczony z dostosowaniem do linii nadwozia z tyłu pojazdu. </w:t>
      </w:r>
      <w:r w:rsidRPr="00EC7D1D">
        <w:rPr>
          <w:rFonts w:ascii="Arial" w:hAnsi="Arial" w:cs="Arial"/>
          <w:sz w:val="22"/>
          <w:szCs w:val="22"/>
        </w:rPr>
        <w:t xml:space="preserve">Pas musi spełniać następujące wymagania: </w:t>
      </w:r>
    </w:p>
    <w:p w:rsidR="00316E1C" w:rsidRPr="00EC7D1D" w:rsidRDefault="00316E1C" w:rsidP="00316E1C">
      <w:pPr>
        <w:widowControl/>
        <w:numPr>
          <w:ilvl w:val="1"/>
          <w:numId w:val="8"/>
        </w:numPr>
        <w:spacing w:line="100" w:lineRule="atLeast"/>
        <w:ind w:left="993" w:right="-15" w:hanging="142"/>
        <w:contextualSpacing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pas musi mieć wymiary, które zapewnią maksymalne wykorzystanie 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powierzchni co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najmniej drzwi/klapy tyłu nadwozia</w:t>
      </w:r>
      <w:r w:rsidRPr="00EC7D1D">
        <w:rPr>
          <w:rFonts w:ascii="Arial" w:hAnsi="Arial" w:cs="Arial"/>
          <w:sz w:val="22"/>
          <w:szCs w:val="22"/>
        </w:rPr>
        <w:t xml:space="preserve">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znajdującej się </w:t>
      </w:r>
      <w:r w:rsidRPr="00EC7D1D">
        <w:rPr>
          <w:rFonts w:ascii="Arial" w:hAnsi="Arial" w:cs="Arial"/>
          <w:sz w:val="22"/>
          <w:szCs w:val="22"/>
        </w:rPr>
        <w:t xml:space="preserve">poniżej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dolnej krawędzi linii szyby tylnej lub linii podziału nadwozia (pojazd nieposiadający szyby tylnej)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br/>
        <w:t>z uwzględnieniem miejsca na umieszczenie nad pasem dodatkowego pasa odblaskowego barwy żółto-zielonej fluorescencyjnej,</w:t>
      </w:r>
    </w:p>
    <w:p w:rsidR="00316E1C" w:rsidRPr="00EC7D1D" w:rsidRDefault="00316E1C" w:rsidP="00316E1C">
      <w:pPr>
        <w:widowControl/>
        <w:numPr>
          <w:ilvl w:val="1"/>
          <w:numId w:val="8"/>
        </w:numPr>
        <w:tabs>
          <w:tab w:val="left" w:pos="993"/>
        </w:tabs>
        <w:spacing w:line="100" w:lineRule="atLeast"/>
        <w:ind w:left="993" w:right="-15" w:hanging="142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przy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górnej i dolnej krawędzi pasa musi być umieszczona linia wykonana </w:t>
      </w:r>
      <w:r w:rsidRPr="00EC7D1D">
        <w:rPr>
          <w:rFonts w:ascii="Arial" w:hAnsi="Arial" w:cs="Arial"/>
          <w:sz w:val="22"/>
          <w:szCs w:val="22"/>
        </w:rPr>
        <w:br/>
        <w:t xml:space="preserve">z prostokątnych elementów z folii odblaskowej barwy białej. Prostokątne elementy muszą mieć wymiary (90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± 1) </w:t>
      </w:r>
      <w:r w:rsidRPr="00EC7D1D">
        <w:rPr>
          <w:rFonts w:ascii="Arial" w:hAnsi="Arial" w:cs="Arial"/>
          <w:sz w:val="22"/>
          <w:szCs w:val="22"/>
        </w:rPr>
        <w:t xml:space="preserve">mm x (30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± 1) </w:t>
      </w:r>
      <w:r w:rsidRPr="00EC7D1D">
        <w:rPr>
          <w:rFonts w:ascii="Arial" w:hAnsi="Arial" w:cs="Arial"/>
          <w:sz w:val="22"/>
          <w:szCs w:val="22"/>
        </w:rPr>
        <w:t xml:space="preserve">mm (szerokość/wysokość), a odstęp pomiędzy poszczególnymi elementami musi wynosić (30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± 1) </w:t>
      </w:r>
      <w:r w:rsidRPr="00EC7D1D">
        <w:rPr>
          <w:rFonts w:ascii="Arial" w:hAnsi="Arial" w:cs="Arial"/>
          <w:sz w:val="22"/>
          <w:szCs w:val="22"/>
        </w:rPr>
        <w:t xml:space="preserve">mm.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Promienie zaokrągleń narożników prostokątnych elementów muszą wynosić (5 ± 0,5) mm.</w:t>
      </w:r>
      <w:r w:rsidRPr="00EC7D1D">
        <w:rPr>
          <w:rFonts w:ascii="Arial" w:hAnsi="Arial" w:cs="Arial"/>
          <w:sz w:val="22"/>
          <w:szCs w:val="22"/>
        </w:rPr>
        <w:t xml:space="preserve"> </w:t>
      </w:r>
      <w:r w:rsidRPr="00EC7D1D">
        <w:rPr>
          <w:rFonts w:ascii="Arial" w:hAnsi="Arial" w:cs="Arial"/>
          <w:sz w:val="22"/>
          <w:szCs w:val="22"/>
        </w:rPr>
        <w:br/>
        <w:t xml:space="preserve">W miarę możliwości elementy linii górnej muszą pokrywać się w pionie </w:t>
      </w:r>
      <w:r w:rsidRPr="00EC7D1D">
        <w:rPr>
          <w:rFonts w:ascii="Arial" w:hAnsi="Arial" w:cs="Arial"/>
          <w:sz w:val="22"/>
          <w:szCs w:val="22"/>
        </w:rPr>
        <w:br/>
        <w:t xml:space="preserve">z elementami z linii dolnej, </w:t>
      </w:r>
    </w:p>
    <w:p w:rsidR="00316E1C" w:rsidRPr="00EC7D1D" w:rsidRDefault="00316E1C" w:rsidP="00316E1C">
      <w:pPr>
        <w:widowControl/>
        <w:numPr>
          <w:ilvl w:val="1"/>
          <w:numId w:val="8"/>
        </w:numPr>
        <w:tabs>
          <w:tab w:val="left" w:pos="993"/>
        </w:tabs>
        <w:spacing w:line="100" w:lineRule="atLeast"/>
        <w:ind w:left="993" w:right="-15" w:hanging="142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EC7D1D">
        <w:rPr>
          <w:rFonts w:ascii="Arial" w:hAnsi="Arial" w:cs="Arial"/>
          <w:sz w:val="22"/>
          <w:szCs w:val="22"/>
        </w:rPr>
        <w:t>pas</w:t>
      </w:r>
      <w:proofErr w:type="gramEnd"/>
      <w:r w:rsidRPr="00EC7D1D">
        <w:rPr>
          <w:rFonts w:ascii="Arial" w:hAnsi="Arial" w:cs="Arial"/>
          <w:sz w:val="22"/>
          <w:szCs w:val="22"/>
        </w:rPr>
        <w:t xml:space="preserve"> musi być symetryczny względem linii pionowej dzielącej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tył nadwozia na dwie identyczne części.</w:t>
      </w:r>
    </w:p>
    <w:p w:rsidR="00316E1C" w:rsidRPr="00EC7D1D" w:rsidRDefault="00316E1C" w:rsidP="00316E1C">
      <w:pPr>
        <w:widowControl/>
        <w:tabs>
          <w:tab w:val="left" w:pos="1701"/>
        </w:tabs>
        <w:spacing w:line="100" w:lineRule="atLeast"/>
        <w:ind w:right="-15"/>
        <w:jc w:val="both"/>
        <w:rPr>
          <w:rFonts w:ascii="Arial" w:hAnsi="Arial" w:cs="Arial"/>
          <w:sz w:val="22"/>
          <w:szCs w:val="22"/>
        </w:rPr>
      </w:pPr>
    </w:p>
    <w:p w:rsidR="00316E1C" w:rsidRPr="00EC7D1D" w:rsidRDefault="00316E1C" w:rsidP="00316E1C">
      <w:pPr>
        <w:numPr>
          <w:ilvl w:val="0"/>
          <w:numId w:val="7"/>
        </w:numPr>
        <w:ind w:left="567" w:hanging="567"/>
        <w:contextualSpacing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Dodatkowe pasy odblaskowe barwy żółto-zielonej fluorescencyjnej.</w:t>
      </w:r>
    </w:p>
    <w:p w:rsidR="00316E1C" w:rsidRPr="00EC7D1D" w:rsidRDefault="00316E1C" w:rsidP="00316E1C">
      <w:pPr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Dodatkowe pasy odblaskowe barwy żółto-zielonej fluorescencyjnej muszą być umieszczone po obu stronach oraz z przodu i tyłu nadwozia pojazdu w górnej i dolnej jego części. </w:t>
      </w:r>
      <w:r w:rsidRPr="00EC7D1D">
        <w:rPr>
          <w:rFonts w:ascii="Arial" w:hAnsi="Arial" w:cs="Arial"/>
          <w:sz w:val="22"/>
          <w:szCs w:val="22"/>
        </w:rPr>
        <w:t xml:space="preserve">Pasy muszą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wyraźnie zaznaczać gabaryt oraz sylwetkę pojazdu a ich umiejscowienie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br/>
      </w:r>
      <w:r w:rsidRPr="00EC7D1D">
        <w:rPr>
          <w:rFonts w:ascii="Arial" w:eastAsia="Calibri" w:hAnsi="Arial" w:cs="Arial"/>
          <w:sz w:val="22"/>
          <w:szCs w:val="22"/>
          <w:lang w:eastAsia="en-US"/>
        </w:rPr>
        <w:lastRenderedPageBreak/>
        <w:t>i wymiary muszą być dostosowana do linii nadwozia oraz zapewniać dobrą widoczność pasów z przodu, boku i tyłu pojazdu. Promienie zaokrągleń narożników elementów pasów muszą wynosić (5 ± 0,5) mm.</w:t>
      </w:r>
      <w:r w:rsidRPr="00EC7D1D">
        <w:rPr>
          <w:rFonts w:ascii="Arial" w:hAnsi="Arial" w:cs="Arial"/>
          <w:sz w:val="22"/>
          <w:szCs w:val="22"/>
        </w:rPr>
        <w:t xml:space="preserve"> Przerwy technologiczne pomiędzy poszczególnymi elementami pasów oraz elementami pasów a krawędziami </w:t>
      </w:r>
      <w:r w:rsidRPr="00EC7D1D">
        <w:rPr>
          <w:rFonts w:ascii="Arial" w:hAnsi="Arial" w:cs="Arial"/>
          <w:sz w:val="22"/>
          <w:szCs w:val="22"/>
        </w:rPr>
        <w:br/>
        <w:t xml:space="preserve">i załamaniami elementów nadwozia muszą wynosić (5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± 0,5) </w:t>
      </w:r>
      <w:r w:rsidRPr="00EC7D1D">
        <w:rPr>
          <w:rFonts w:ascii="Arial" w:hAnsi="Arial" w:cs="Arial"/>
          <w:sz w:val="22"/>
          <w:szCs w:val="22"/>
        </w:rPr>
        <w:t>mm.</w:t>
      </w: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1701" w:right="-15" w:hanging="1701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2.1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EC7D1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Pasy umieszczone z przodu pojazdu.</w:t>
      </w: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567" w:right="-15" w:hanging="567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2.1.1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Pas górny.</w:t>
      </w:r>
    </w:p>
    <w:p w:rsidR="00316E1C" w:rsidRPr="00EC7D1D" w:rsidRDefault="00316E1C" w:rsidP="00316E1C">
      <w:pPr>
        <w:spacing w:line="100" w:lineRule="atLeast"/>
        <w:ind w:left="567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Pas górny musi być umieszczony </w:t>
      </w:r>
      <w:r w:rsidRPr="00EC7D1D">
        <w:rPr>
          <w:rFonts w:ascii="Arial" w:hAnsi="Arial" w:cs="Arial"/>
          <w:sz w:val="22"/>
          <w:szCs w:val="22"/>
        </w:rPr>
        <w:t>z dostosowaniem do linii nadwozia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nad linią szyby czołowej </w:t>
      </w:r>
      <w:r w:rsidRPr="00EC7D1D">
        <w:rPr>
          <w:rFonts w:ascii="Arial" w:hAnsi="Arial" w:cs="Arial"/>
          <w:sz w:val="22"/>
          <w:szCs w:val="22"/>
        </w:rPr>
        <w:t xml:space="preserve">na całej szerokości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dachu i posiadać wysokości minimum 100 mm. Kształt pasa musi uwzględniać linię szyby czołowej.</w:t>
      </w: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1701" w:right="-15" w:hanging="170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2.1.2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Pasy dolne.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16E1C" w:rsidRPr="00EC7D1D" w:rsidRDefault="00316E1C" w:rsidP="00316E1C">
      <w:pPr>
        <w:widowControl/>
        <w:tabs>
          <w:tab w:val="left" w:pos="851"/>
          <w:tab w:val="left" w:pos="1985"/>
        </w:tabs>
        <w:spacing w:line="100" w:lineRule="atLeast"/>
        <w:ind w:left="567" w:right="-15"/>
        <w:contextualSpacing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Pasy dolne muszą być umieszczone </w:t>
      </w:r>
      <w:r w:rsidRPr="00EC7D1D">
        <w:rPr>
          <w:rFonts w:ascii="Arial" w:hAnsi="Arial" w:cs="Arial"/>
          <w:sz w:val="22"/>
          <w:szCs w:val="22"/>
        </w:rPr>
        <w:t>z dostosowaniem do linii nadwozia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na powierzchniach od przednich lamp głównych do dolnej części słupka A. Pasy muszą wypełniać wolne powierzchnie maski pomiędzy folią </w:t>
      </w:r>
      <w:proofErr w:type="spellStart"/>
      <w:r w:rsidRPr="00EC7D1D">
        <w:rPr>
          <w:rFonts w:ascii="Arial" w:eastAsia="Calibri" w:hAnsi="Arial" w:cs="Arial"/>
          <w:sz w:val="22"/>
          <w:szCs w:val="22"/>
          <w:lang w:eastAsia="en-US"/>
        </w:rPr>
        <w:t>nieodblaskową</w:t>
      </w:r>
      <w:proofErr w:type="spell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o barwie niebieskiej a zewnętrzną krawędzią maski i/lub górnej części błotników. </w:t>
      </w:r>
      <w:r w:rsidRPr="00EC7D1D">
        <w:rPr>
          <w:rFonts w:ascii="Arial" w:hAnsi="Arial" w:cs="Arial"/>
          <w:sz w:val="22"/>
          <w:szCs w:val="22"/>
        </w:rPr>
        <w:t>Pasy po obu stronach pojazdu muszą być wykonane w identyczny sposób.</w:t>
      </w:r>
    </w:p>
    <w:p w:rsidR="00316E1C" w:rsidRPr="00EC7D1D" w:rsidRDefault="00316E1C" w:rsidP="00316E1C">
      <w:pPr>
        <w:tabs>
          <w:tab w:val="left" w:pos="1843"/>
        </w:tabs>
        <w:spacing w:line="100" w:lineRule="atLeast"/>
        <w:ind w:left="567" w:right="-15" w:hanging="567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2.2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EC7D1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Pasy po obu bokach pojazdu.</w:t>
      </w:r>
    </w:p>
    <w:p w:rsidR="00316E1C" w:rsidRPr="00EC7D1D" w:rsidRDefault="00316E1C" w:rsidP="00316E1C">
      <w:pPr>
        <w:spacing w:line="100" w:lineRule="atLeast"/>
        <w:ind w:left="567" w:right="-15" w:hanging="567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2.2.1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Pas górny.</w:t>
      </w: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567" w:right="-15"/>
        <w:contextualSpacing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Pas górny musi być umieszczony </w:t>
      </w:r>
      <w:r w:rsidRPr="00EC7D1D">
        <w:rPr>
          <w:rFonts w:ascii="Arial" w:hAnsi="Arial" w:cs="Arial"/>
          <w:sz w:val="22"/>
          <w:szCs w:val="22"/>
        </w:rPr>
        <w:t xml:space="preserve">z dostosowaniem do linii nadwozia pojazdu powyżej górnej krawędzi drzwi i okien umieszczonych za słupkiem C. Pas musi rozpoczynać się na dolnej części słupka A i dochodzić do lamp tylnych pojazdu.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Na pasie muszą być umieszczone przerwy o szerokości (30 ± 1) mm (prostopadłe do linii prowadzenia pasa w danym miejscu) znajdujące się na liniach podziału tj. na wysokości górnej części słupka A, słupka B i słupka C oraz dodatkowo w poziomie na słupku tyłu nadwozia (linia rozdzielająca część dachową od części bocznej. Wysokość pasa musi być dostosowana do linii nadwozia i zapewniać dobrą widoczność pasa z przodu, boku i tyłu pojazdu. Na krawędziach dachowych pas musi wypełniać przestrzeń pomiędzy górnymi krawędziami drzwi bocznych a rynienką dachową. Pas znajdujący się na słupku A i słupku tyłu nadwozia musi zapewniać maksymalne pokrycie tych elementów. </w:t>
      </w:r>
      <w:r w:rsidRPr="00EC7D1D">
        <w:rPr>
          <w:rFonts w:ascii="Arial" w:hAnsi="Arial" w:cs="Arial"/>
          <w:sz w:val="22"/>
          <w:szCs w:val="22"/>
        </w:rPr>
        <w:t>Pasy po obu stronach pojazdu muszą być wykonane w identyczny sposób.</w:t>
      </w: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567" w:right="-15" w:hanging="56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2.2.2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Pas dolny.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16E1C" w:rsidRPr="00EC7D1D" w:rsidRDefault="00316E1C" w:rsidP="00316E1C">
      <w:pPr>
        <w:widowControl/>
        <w:tabs>
          <w:tab w:val="left" w:pos="567"/>
        </w:tabs>
        <w:spacing w:line="100" w:lineRule="atLeast"/>
        <w:ind w:left="567" w:right="-15"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Pas dolny musi być umieszczony w dolnej części nadwozia na </w:t>
      </w:r>
      <w:r w:rsidRPr="00EC7D1D">
        <w:rPr>
          <w:rFonts w:ascii="Arial" w:hAnsi="Arial" w:cs="Arial"/>
          <w:sz w:val="22"/>
          <w:szCs w:val="22"/>
        </w:rPr>
        <w:t>całej długości obu boków pojazdu z dostosowaniem do linii nadwozia powyżej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dolnej krawędzi drzwi bocznych i dolnej krawędzi zderzaka oraz błotnika przedniego i tylnego. Wysokość pasa umieszczonego pomiędzy osią przednią i tylną pojazdu musi wynosić minimum 150 mm. Wysokość pasa umieszczonego na zderzaku przednim i tylnym musi zapewniać maksymalne pokrycie tego elementu z uwzględnieniem linii nadwozia pojazdu. Na zderzaku przednim pas musi zaczynać się bezpośrednio pod pasem odblaskowym wyróżniającym barwy niebieskiej. P</w:t>
      </w:r>
      <w:r w:rsidRPr="00EC7D1D">
        <w:rPr>
          <w:rFonts w:ascii="Arial" w:hAnsi="Arial" w:cs="Arial"/>
          <w:sz w:val="22"/>
          <w:szCs w:val="22"/>
        </w:rPr>
        <w:t xml:space="preserve">asy po obu stronach pojazdu muszą być wykonane w identyczny sposób.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Pas od drzwi II rzędu siedzeń w kierunku tyłu nadwozia musi przyjąć formę pasa przerywanego spełniającego następujące wymagania:</w:t>
      </w:r>
    </w:p>
    <w:p w:rsidR="00316E1C" w:rsidRPr="00EC7D1D" w:rsidRDefault="00316E1C" w:rsidP="00316E1C">
      <w:pPr>
        <w:tabs>
          <w:tab w:val="left" w:pos="993"/>
        </w:tabs>
        <w:spacing w:line="100" w:lineRule="atLeast"/>
        <w:ind w:left="993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a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pas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przerywany musi rozpocząć się w miejscu leżącym w odległości mierzonej od przedniej krawędzi drzwi II rzędu siedzeń stanowiącej około ⅓ wartości dolnej szerokości tych drzwi,</w:t>
      </w:r>
    </w:p>
    <w:p w:rsidR="00316E1C" w:rsidRPr="00EC7D1D" w:rsidRDefault="00316E1C" w:rsidP="00316E1C">
      <w:pPr>
        <w:tabs>
          <w:tab w:val="left" w:pos="851"/>
          <w:tab w:val="left" w:pos="993"/>
        </w:tabs>
        <w:spacing w:line="100" w:lineRule="atLeast"/>
        <w:ind w:left="993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b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pas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przerywany musi być podzielony na co najmniej 6 ukośnych segmentów umieszczonych przed i za tylnym kołem. Szerokość poszczególnych segmentów musi zmniejszać się proporcjonalnie w kierunku tyłu nadwozia. Ilość segmentów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br/>
        <w:t>i różnica ich szerokości zostanie określona z uwzględnieniem linii nadwozia,</w:t>
      </w:r>
    </w:p>
    <w:p w:rsidR="00316E1C" w:rsidRPr="00EC7D1D" w:rsidRDefault="00316E1C" w:rsidP="00316E1C">
      <w:pPr>
        <w:tabs>
          <w:tab w:val="left" w:pos="851"/>
          <w:tab w:val="left" w:pos="993"/>
        </w:tabs>
        <w:spacing w:line="100" w:lineRule="atLeast"/>
        <w:ind w:left="993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c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wartość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kąta pochylenia w kierunku tyłu nadwozia segmentów pasa przerywanego zostanie określona z uwzględnieniem linii nadwozia,</w:t>
      </w:r>
    </w:p>
    <w:p w:rsidR="00316E1C" w:rsidRPr="00EC7D1D" w:rsidRDefault="00316E1C" w:rsidP="00316E1C">
      <w:pPr>
        <w:tabs>
          <w:tab w:val="left" w:pos="993"/>
        </w:tabs>
        <w:spacing w:line="100" w:lineRule="atLeast"/>
        <w:ind w:left="993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d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szerokość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przerwy pomiędzy poszczególnymi segmentami pasa przerywanego musi wynosić (30 ± 1) mm.</w:t>
      </w:r>
    </w:p>
    <w:p w:rsidR="00316E1C" w:rsidRPr="00EC7D1D" w:rsidRDefault="00316E1C" w:rsidP="00316E1C">
      <w:pPr>
        <w:tabs>
          <w:tab w:val="left" w:pos="993"/>
        </w:tabs>
        <w:spacing w:line="100" w:lineRule="atLeast"/>
        <w:ind w:left="993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567" w:right="-15" w:hanging="567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2.3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EC7D1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Pasy umieszczone z tyłu pojazdu.</w:t>
      </w: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567" w:right="-15" w:hanging="56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2.3.1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ab/>
        <w:t>Pas dolny.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16E1C" w:rsidRPr="00EC7D1D" w:rsidRDefault="00316E1C" w:rsidP="00316E1C">
      <w:pPr>
        <w:spacing w:line="100" w:lineRule="atLeast"/>
        <w:ind w:left="567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Pas dolny musi być umieszczony </w:t>
      </w:r>
      <w:r w:rsidRPr="00EC7D1D">
        <w:rPr>
          <w:rFonts w:ascii="Arial" w:hAnsi="Arial" w:cs="Arial"/>
          <w:sz w:val="22"/>
          <w:szCs w:val="22"/>
        </w:rPr>
        <w:t xml:space="preserve">z dostosowaniem do linii nadwozia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r w:rsidRPr="00EC7D1D">
        <w:rPr>
          <w:rFonts w:ascii="Arial" w:hAnsi="Arial" w:cs="Arial"/>
          <w:sz w:val="22"/>
          <w:szCs w:val="22"/>
        </w:rPr>
        <w:t xml:space="preserve">całej dostępnej szerokości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dolnej części tyłu nadwozia (zderzak pojazdu) poniżej dolnej krawędzi drzwi/klapy nadwozia. Pas musi całkowicie wypełniać dostępną powierzchnię zderzaka tylnego i mieć formę pasa przerywanego spełniającego następujące wymagania:</w:t>
      </w:r>
    </w:p>
    <w:p w:rsidR="00316E1C" w:rsidRPr="00EC7D1D" w:rsidRDefault="00316E1C" w:rsidP="00316E1C">
      <w:pPr>
        <w:widowControl/>
        <w:tabs>
          <w:tab w:val="left" w:pos="851"/>
        </w:tabs>
        <w:spacing w:line="100" w:lineRule="atLeast"/>
        <w:ind w:left="851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a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pas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musi być podzielony linią </w:t>
      </w:r>
      <w:r w:rsidRPr="00EC7D1D">
        <w:rPr>
          <w:rFonts w:ascii="Arial" w:hAnsi="Arial" w:cs="Arial"/>
          <w:sz w:val="22"/>
          <w:szCs w:val="22"/>
        </w:rPr>
        <w:t xml:space="preserve">osi symetrii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tyłu nadwozia na dwie identyczne części,</w:t>
      </w:r>
    </w:p>
    <w:p w:rsidR="00316E1C" w:rsidRPr="00EC7D1D" w:rsidRDefault="00316E1C" w:rsidP="00316E1C">
      <w:pPr>
        <w:widowControl/>
        <w:tabs>
          <w:tab w:val="left" w:pos="851"/>
        </w:tabs>
        <w:spacing w:line="100" w:lineRule="atLeast"/>
        <w:ind w:left="851" w:right="-15" w:hanging="284"/>
        <w:contextualSpacing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b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każda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z części pasa musi być podzielona na co najmniej 4 ukośne segmenty. Szerokość poszczególnych segmentów musi zmniejszać się proporcjonalnie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br/>
        <w:t xml:space="preserve">w kierunku boków nadwozia. Ilość segmentów i różnica ich szerokości zostanie określona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br/>
        <w:t xml:space="preserve">z uwzględnieniem linii nadwozia. </w:t>
      </w:r>
    </w:p>
    <w:p w:rsidR="00316E1C" w:rsidRPr="00EC7D1D" w:rsidRDefault="00316E1C" w:rsidP="00316E1C">
      <w:pPr>
        <w:tabs>
          <w:tab w:val="left" w:pos="851"/>
          <w:tab w:val="left" w:pos="2694"/>
        </w:tabs>
        <w:spacing w:line="100" w:lineRule="atLeast"/>
        <w:ind w:left="851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c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segmenty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pasa muszą posiadać wysokości minimum 100 mm,</w:t>
      </w:r>
    </w:p>
    <w:p w:rsidR="00316E1C" w:rsidRPr="00EC7D1D" w:rsidRDefault="00316E1C" w:rsidP="00316E1C">
      <w:pPr>
        <w:tabs>
          <w:tab w:val="left" w:pos="851"/>
          <w:tab w:val="left" w:pos="2694"/>
        </w:tabs>
        <w:spacing w:line="100" w:lineRule="atLeast"/>
        <w:ind w:left="851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d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wartość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kąta pochylenia w kierunku osi symetrii tyłu nadwozia segmentów pasa zostanie określona z uwzględnieniem linii nadwozia,</w:t>
      </w:r>
    </w:p>
    <w:p w:rsidR="00316E1C" w:rsidRPr="00EC7D1D" w:rsidRDefault="00316E1C" w:rsidP="00316E1C">
      <w:pPr>
        <w:tabs>
          <w:tab w:val="left" w:pos="851"/>
          <w:tab w:val="left" w:pos="2835"/>
        </w:tabs>
        <w:spacing w:line="100" w:lineRule="atLeast"/>
        <w:ind w:left="851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e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szerokość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przerwy pomiędzy poszczególnymi segmentami pasa musi wynosić (30 ± 1) mm.</w:t>
      </w:r>
    </w:p>
    <w:p w:rsidR="00316E1C" w:rsidRPr="00EC7D1D" w:rsidRDefault="00316E1C" w:rsidP="00316E1C">
      <w:pPr>
        <w:tabs>
          <w:tab w:val="left" w:pos="851"/>
        </w:tabs>
        <w:spacing w:line="100" w:lineRule="atLeast"/>
        <w:ind w:left="851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f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każda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z części pasa musi rozpoczynać się elementem w kształcie trójkąta prostokątnego o wysokości ramienia pionowego będącego przyprostokątną równej wysokości pasa i pochyleniu boku będącego przeciwprostokątną zgodnego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br/>
        <w:t>z wartością kąta pochylenia segmentów. Trójkąty muszą przylegać do siebie ramionami pionowymi z zachowaniem przerwy pomiędzy nimi o wartości (5 ± 0,5) mm,</w:t>
      </w:r>
    </w:p>
    <w:p w:rsidR="00316E1C" w:rsidRPr="00EC7D1D" w:rsidRDefault="00316E1C" w:rsidP="00316E1C">
      <w:pPr>
        <w:tabs>
          <w:tab w:val="left" w:pos="851"/>
          <w:tab w:val="left" w:pos="2694"/>
        </w:tabs>
        <w:spacing w:line="100" w:lineRule="atLeast"/>
        <w:ind w:left="851" w:right="-15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g</w:t>
      </w:r>
      <w:proofErr w:type="gramStart"/>
      <w:r w:rsidRPr="00EC7D1D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ab/>
        <w:t>sposób</w:t>
      </w:r>
      <w:proofErr w:type="gram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wykonania pasa z uwzględnieniem linii nadwozia musi w miarę możliwości zapewniać ciągłość oznakowania z pasami umieszczonymi na bokach pojazdu.</w:t>
      </w: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567" w:right="-15" w:hanging="567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2.3.2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ab/>
        <w:t>Pas środkowy.</w:t>
      </w:r>
    </w:p>
    <w:p w:rsidR="00316E1C" w:rsidRPr="00EC7D1D" w:rsidRDefault="00316E1C" w:rsidP="00316E1C">
      <w:pPr>
        <w:tabs>
          <w:tab w:val="left" w:pos="567"/>
          <w:tab w:val="left" w:pos="2694"/>
        </w:tabs>
        <w:spacing w:line="100" w:lineRule="atLeast"/>
        <w:ind w:left="567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Pas środkowy musi być umieszczony </w:t>
      </w:r>
      <w:r w:rsidRPr="00EC7D1D">
        <w:rPr>
          <w:rFonts w:ascii="Arial" w:hAnsi="Arial" w:cs="Arial"/>
          <w:sz w:val="22"/>
          <w:szCs w:val="22"/>
        </w:rPr>
        <w:t xml:space="preserve">z dostosowaniem do linii nadwozia pojazdu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r w:rsidRPr="00EC7D1D">
        <w:rPr>
          <w:rFonts w:ascii="Arial" w:hAnsi="Arial" w:cs="Arial"/>
          <w:sz w:val="22"/>
          <w:szCs w:val="22"/>
        </w:rPr>
        <w:t xml:space="preserve">całej dostępnej szerokości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drzwi/klapy tyłu nadwozia</w:t>
      </w:r>
      <w:r w:rsidRPr="00EC7D1D">
        <w:rPr>
          <w:rFonts w:ascii="Arial" w:hAnsi="Arial" w:cs="Arial"/>
          <w:sz w:val="22"/>
          <w:szCs w:val="22"/>
        </w:rPr>
        <w:t xml:space="preserve">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pod linią szyby tylnej lub linią podziału nadwozia (pojazd nieposiadający szyby tylnej). Pas musi posiadać wysokości minimum 50 mm. Sposób wykonania pasa musi w miarę możliwości zapewniać ciągłość oznakowania z pasami umieszczonymi na bokach pojazdu.</w:t>
      </w: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567" w:right="-15" w:hanging="567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>2.3.3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ab/>
        <w:t>Pas górny</w:t>
      </w:r>
    </w:p>
    <w:p w:rsidR="00316E1C" w:rsidRPr="00EC7D1D" w:rsidRDefault="00316E1C" w:rsidP="00316E1C">
      <w:pPr>
        <w:tabs>
          <w:tab w:val="left" w:pos="567"/>
          <w:tab w:val="left" w:pos="2694"/>
        </w:tabs>
        <w:spacing w:line="100" w:lineRule="atLeast"/>
        <w:ind w:left="567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Pas górny musi być umieszczony </w:t>
      </w:r>
      <w:r w:rsidRPr="00EC7D1D">
        <w:rPr>
          <w:rFonts w:ascii="Arial" w:hAnsi="Arial" w:cs="Arial"/>
          <w:sz w:val="22"/>
          <w:szCs w:val="22"/>
        </w:rPr>
        <w:t xml:space="preserve">z dostosowaniem do linii nadwozia pojazdu na całej szerokości tyłu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dachu (owiewka/spojler) nad linią szyby drzwi/klapy tyłu</w:t>
      </w:r>
      <w:r w:rsidRPr="00EC7D1D">
        <w:rPr>
          <w:rFonts w:ascii="Arial" w:eastAsia="Calibri" w:hAnsi="Arial" w:cs="Arial"/>
          <w:sz w:val="22"/>
          <w:szCs w:val="22"/>
        </w:rPr>
        <w:t xml:space="preserve"> nadwozia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>pojazdu lub linią podziału nadwozia (pojazd nieposiadający szyby tylnej). Pas musi posiadać wysokości minimum 50 mm. Sposób wykonania pasa musi w miarę możliwości zapewniać ciągłość oznakowania z pasami umieszczonymi na bokach pojazdu.</w:t>
      </w:r>
    </w:p>
    <w:p w:rsidR="00316E1C" w:rsidRPr="00EC7D1D" w:rsidRDefault="00316E1C" w:rsidP="00316E1C">
      <w:pPr>
        <w:tabs>
          <w:tab w:val="left" w:pos="851"/>
        </w:tabs>
        <w:spacing w:line="100" w:lineRule="atLeast"/>
        <w:ind w:right="-1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567"/>
        </w:tabs>
        <w:spacing w:line="100" w:lineRule="atLeast"/>
        <w:ind w:left="567" w:right="-15" w:hanging="567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>3.</w:t>
      </w:r>
      <w:r w:rsidRPr="00EC7D1D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EC7D1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Oklejenie przodu pojazdu folią </w:t>
      </w:r>
      <w:proofErr w:type="spellStart"/>
      <w:r w:rsidRPr="00EC7D1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nieodblaskową</w:t>
      </w:r>
      <w:proofErr w:type="spellEnd"/>
      <w:r w:rsidRPr="00EC7D1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.</w:t>
      </w:r>
    </w:p>
    <w:p w:rsidR="00316E1C" w:rsidRPr="00EC7D1D" w:rsidRDefault="00316E1C" w:rsidP="00316E1C">
      <w:pPr>
        <w:widowControl/>
        <w:spacing w:line="100" w:lineRule="atLeast"/>
        <w:ind w:left="567" w:right="-15"/>
        <w:contextualSpacing/>
        <w:jc w:val="both"/>
        <w:rPr>
          <w:rFonts w:ascii="Arial" w:hAnsi="Arial" w:cs="Arial"/>
          <w:sz w:val="22"/>
          <w:szCs w:val="22"/>
        </w:rPr>
      </w:pP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Przednia część nadwozia pojazdu musi być oklejona </w:t>
      </w:r>
      <w:proofErr w:type="spellStart"/>
      <w:r w:rsidRPr="00EC7D1D">
        <w:rPr>
          <w:rFonts w:ascii="Arial" w:eastAsia="Calibri" w:hAnsi="Arial" w:cs="Arial"/>
          <w:sz w:val="22"/>
          <w:szCs w:val="22"/>
          <w:lang w:eastAsia="en-US"/>
        </w:rPr>
        <w:t>nieodblaskową</w:t>
      </w:r>
      <w:proofErr w:type="spellEnd"/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folią </w:t>
      </w:r>
      <w:r w:rsidRPr="00EC7D1D">
        <w:rPr>
          <w:rFonts w:ascii="Arial" w:hAnsi="Arial" w:cs="Arial"/>
          <w:sz w:val="22"/>
          <w:szCs w:val="22"/>
        </w:rPr>
        <w:t>barwy niebieskiej. Kolor zastosowanej folii musi być maksymalnie zbliżony do koloru folii odblaskowej pasów wyróżniających barwy niebieskiej. Zastosowane wymiary i kształt folii z dostosowaniem do linii nadwozia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 muszą zapewniać pełne wypełnienie wolnych powierzchni przedniej maski i ewentualnie będącej jej kontynuacją górnej części przedniego zderzaka. Promienie zaokrągleń narożników elementów folii muszą wynosić (5 ± 0,5) mm. </w:t>
      </w:r>
      <w:r w:rsidRPr="00EC7D1D">
        <w:rPr>
          <w:rFonts w:ascii="Arial" w:hAnsi="Arial" w:cs="Arial"/>
          <w:sz w:val="22"/>
          <w:szCs w:val="22"/>
        </w:rPr>
        <w:t xml:space="preserve">Przerwy technologiczne o ile występują pomiędzy elementami folii a krawędziami i załamaniami elementów nadwozia muszą wynosić (5 </w:t>
      </w:r>
      <w:r w:rsidRPr="00EC7D1D">
        <w:rPr>
          <w:rFonts w:ascii="Arial" w:eastAsia="Calibri" w:hAnsi="Arial" w:cs="Arial"/>
          <w:sz w:val="22"/>
          <w:szCs w:val="22"/>
          <w:lang w:eastAsia="en-US"/>
        </w:rPr>
        <w:t xml:space="preserve">± 0,5) </w:t>
      </w:r>
      <w:r w:rsidRPr="00EC7D1D">
        <w:rPr>
          <w:rFonts w:ascii="Arial" w:hAnsi="Arial" w:cs="Arial"/>
          <w:sz w:val="22"/>
          <w:szCs w:val="22"/>
        </w:rPr>
        <w:t>mm.</w:t>
      </w:r>
    </w:p>
    <w:p w:rsidR="00316E1C" w:rsidRPr="00EC7D1D" w:rsidRDefault="00316E1C" w:rsidP="00316E1C">
      <w:pPr>
        <w:tabs>
          <w:tab w:val="left" w:pos="1701"/>
        </w:tabs>
        <w:spacing w:line="100" w:lineRule="atLeast"/>
        <w:ind w:left="1701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1701"/>
        </w:tabs>
        <w:spacing w:line="100" w:lineRule="atLeast"/>
        <w:ind w:left="1701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1701"/>
        </w:tabs>
        <w:spacing w:line="100" w:lineRule="atLeast"/>
        <w:ind w:left="1701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1701"/>
        </w:tabs>
        <w:spacing w:line="100" w:lineRule="atLeast"/>
        <w:ind w:left="1701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1701"/>
        </w:tabs>
        <w:spacing w:line="100" w:lineRule="atLeast"/>
        <w:ind w:left="1701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1701"/>
        </w:tabs>
        <w:spacing w:line="100" w:lineRule="atLeast"/>
        <w:ind w:left="1701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Default="00316E1C" w:rsidP="00316E1C">
      <w:pPr>
        <w:tabs>
          <w:tab w:val="left" w:pos="1701"/>
        </w:tabs>
        <w:spacing w:line="100" w:lineRule="atLeast"/>
        <w:ind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Default="00316E1C" w:rsidP="00316E1C">
      <w:pPr>
        <w:tabs>
          <w:tab w:val="left" w:pos="1701"/>
        </w:tabs>
        <w:spacing w:line="100" w:lineRule="atLeast"/>
        <w:ind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Default="00316E1C" w:rsidP="00316E1C">
      <w:pPr>
        <w:tabs>
          <w:tab w:val="left" w:pos="1701"/>
        </w:tabs>
        <w:spacing w:line="100" w:lineRule="atLeast"/>
        <w:ind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1701"/>
        </w:tabs>
        <w:spacing w:line="100" w:lineRule="atLeast"/>
        <w:ind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lang w:eastAsia="pl-PL"/>
        </w:rPr>
        <w:lastRenderedPageBreak/>
        <w:t>Załącznik nr 2</w:t>
      </w: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Wymagania dla materiałów używanych do wykonania </w:t>
      </w: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  <w:lang w:eastAsia="pl-PL"/>
        </w:rPr>
      </w:pPr>
      <w:proofErr w:type="gramStart"/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>oznakowania</w:t>
      </w:r>
      <w:proofErr w:type="gramEnd"/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pojazdów policyjnych</w:t>
      </w: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>Wymagania ogólne:</w:t>
      </w: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spacing w:after="1"/>
        <w:jc w:val="both"/>
        <w:rPr>
          <w:rFonts w:ascii="Arial" w:hAnsi="Arial" w:cs="Arial"/>
          <w:sz w:val="22"/>
          <w:szCs w:val="22"/>
          <w:lang w:eastAsia="pl-PL"/>
        </w:rPr>
      </w:pPr>
    </w:p>
    <w:tbl>
      <w:tblPr>
        <w:tblW w:w="0" w:type="auto"/>
        <w:tblInd w:w="12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1"/>
        <w:gridCol w:w="4252"/>
      </w:tblGrid>
      <w:tr w:rsidR="00316E1C" w:rsidRPr="00EC7D1D" w:rsidTr="00265288">
        <w:trPr>
          <w:trHeight w:hRule="exact" w:val="358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Grubość materiału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≤ 1 mm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Wymagania odnośnie aplikacji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6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Zgodnie z instrukcją producenta</w:t>
            </w:r>
          </w:p>
        </w:tc>
      </w:tr>
      <w:tr w:rsidR="00316E1C" w:rsidRPr="00EC7D1D" w:rsidTr="00265288">
        <w:trPr>
          <w:trHeight w:hRule="exact" w:val="675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Oczekiwana trwałość i okres gwarancji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7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min</w:t>
            </w:r>
            <w:proofErr w:type="gramEnd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 5 lat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Zakres temperatur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6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-30ºC ÷ 70ºC</w:t>
            </w:r>
          </w:p>
        </w:tc>
      </w:tr>
      <w:tr w:rsidR="00316E1C" w:rsidRPr="00EC7D1D" w:rsidTr="00265288">
        <w:trPr>
          <w:trHeight w:hRule="exact" w:val="633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Badania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6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krajowe</w:t>
            </w:r>
            <w:proofErr w:type="gramEnd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 laboratorium akredytowane w zakresie badań materiałów odblaskowych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Okres ważności badań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6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5 lat</w:t>
            </w:r>
          </w:p>
        </w:tc>
      </w:tr>
    </w:tbl>
    <w:p w:rsidR="00316E1C" w:rsidRPr="00EC7D1D" w:rsidRDefault="00316E1C" w:rsidP="00316E1C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:rsidR="00316E1C" w:rsidRPr="00EC7D1D" w:rsidRDefault="00316E1C" w:rsidP="00316E1C">
      <w:pPr>
        <w:widowControl/>
        <w:suppressAutoHyphens w:val="0"/>
        <w:spacing w:after="40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 Zakres badań fotometrycznych </w:t>
      </w:r>
    </w:p>
    <w:p w:rsidR="00316E1C" w:rsidRPr="00EC7D1D" w:rsidRDefault="00316E1C" w:rsidP="00316E1C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1.1 Gęstość powierzchniowa współczynnika odblasku R’ dla materiału nowego </w:t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(Metoda badań zgodna </w:t>
      </w:r>
      <w:r w:rsidRPr="00EC7D1D">
        <w:rPr>
          <w:rFonts w:ascii="Arial" w:hAnsi="Arial" w:cs="Arial"/>
          <w:sz w:val="22"/>
          <w:szCs w:val="22"/>
          <w:lang w:eastAsia="pl-PL"/>
        </w:rPr>
        <w:br/>
        <w:t>z CIE 54.2:2001)</w:t>
      </w:r>
    </w:p>
    <w:p w:rsidR="00316E1C" w:rsidRPr="00EC7D1D" w:rsidRDefault="00316E1C" w:rsidP="00316E1C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tbl>
      <w:tblPr>
        <w:tblW w:w="8264" w:type="dxa"/>
        <w:tblInd w:w="4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6"/>
        <w:gridCol w:w="1135"/>
        <w:gridCol w:w="1849"/>
        <w:gridCol w:w="1368"/>
        <w:gridCol w:w="1276"/>
        <w:gridCol w:w="1220"/>
      </w:tblGrid>
      <w:tr w:rsidR="00316E1C" w:rsidRPr="00EC7D1D" w:rsidTr="00265288">
        <w:trPr>
          <w:trHeight w:hRule="exact" w:val="580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5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316E1C" w:rsidRPr="00EC7D1D" w:rsidRDefault="00316E1C" w:rsidP="00265288">
            <w:pPr>
              <w:widowControl/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Kąt obserwacji</w:t>
            </w:r>
          </w:p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68" w:lineRule="exact"/>
              <w:ind w:left="412" w:right="96" w:hanging="293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sym w:font="Symbol" w:char="F061"/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5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316E1C" w:rsidRPr="00EC7D1D" w:rsidRDefault="00316E1C" w:rsidP="00265288">
            <w:pPr>
              <w:widowControl/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Kąt oświetlenia</w:t>
            </w:r>
          </w:p>
          <w:p w:rsidR="00316E1C" w:rsidRPr="00EC7D1D" w:rsidRDefault="00316E1C" w:rsidP="00265288">
            <w:pPr>
              <w:widowControl/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sym w:font="Symbol" w:char="F062"/>
            </w:r>
            <w:r w:rsidRPr="00EC7D1D">
              <w:rPr>
                <w:rFonts w:ascii="Arial" w:hAnsi="Arial" w:cs="Arial"/>
                <w:sz w:val="22"/>
                <w:szCs w:val="22"/>
                <w:vertAlign w:val="subscript"/>
                <w:lang w:eastAsia="pl-PL"/>
              </w:rPr>
              <w:t>1</w:t>
            </w:r>
          </w:p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68" w:lineRule="exact"/>
              <w:ind w:left="271" w:right="116" w:hanging="132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(</w:t>
            </w: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sym w:font="Symbol" w:char="F062"/>
            </w:r>
            <w:r w:rsidRPr="00EC7D1D">
              <w:rPr>
                <w:rFonts w:ascii="Arial" w:hAnsi="Arial" w:cs="Arial"/>
                <w:sz w:val="22"/>
                <w:szCs w:val="22"/>
                <w:vertAlign w:val="subscript"/>
                <w:lang w:eastAsia="pl-PL"/>
              </w:rPr>
              <w:t>2</w:t>
            </w: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=0)</w:t>
            </w:r>
          </w:p>
        </w:tc>
        <w:tc>
          <w:tcPr>
            <w:tcW w:w="57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304" w:lineRule="exact"/>
              <w:ind w:left="568" w:right="160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R’ [cd/lx·m</w:t>
            </w:r>
            <w:r w:rsidRPr="00EC7D1D">
              <w:rPr>
                <w:rFonts w:ascii="Arial" w:hAnsi="Arial" w:cs="Arial"/>
                <w:sz w:val="22"/>
                <w:szCs w:val="22"/>
                <w:vertAlign w:val="superscript"/>
                <w:lang w:eastAsia="pl-PL"/>
              </w:rPr>
              <w:t>2</w:t>
            </w: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]</w:t>
            </w:r>
          </w:p>
        </w:tc>
      </w:tr>
      <w:tr w:rsidR="00316E1C" w:rsidRPr="00EC7D1D" w:rsidTr="00265288">
        <w:trPr>
          <w:trHeight w:hRule="exact" w:val="895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304" w:lineRule="exact"/>
              <w:ind w:left="2404" w:right="240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304" w:lineRule="exact"/>
              <w:ind w:left="2404" w:right="240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67" w:lineRule="exact"/>
              <w:ind w:left="113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Fluorescencyjny</w:t>
            </w:r>
          </w:p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2" w:lineRule="exact"/>
              <w:ind w:left="113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Żółto-zielony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Niebieski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12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Biały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ind w:left="112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Czerwony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0,20°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300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0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94" w:right="19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0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60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30°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0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94" w:right="19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0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25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45°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94" w:right="19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7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0,33°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0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94" w:right="19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0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25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30°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94" w:right="19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0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10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45°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94" w:right="19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0,50°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94" w:right="19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0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2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30°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94" w:right="19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0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10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45°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2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94" w:right="19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12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3,6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1,00°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2,5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30°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right="-45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76" w:right="37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45°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w w:val="99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-</w:t>
            </w:r>
          </w:p>
        </w:tc>
      </w:tr>
      <w:tr w:rsidR="00316E1C" w:rsidRPr="00EC7D1D" w:rsidTr="00265288">
        <w:trPr>
          <w:trHeight w:hRule="exact" w:val="1353"/>
        </w:trPr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Dopuszczalne zmniejszenie wartości w okresie gwarantowanej trwałości 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50%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20%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3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20%</w:t>
            </w:r>
          </w:p>
        </w:tc>
      </w:tr>
    </w:tbl>
    <w:p w:rsidR="00316E1C" w:rsidRPr="00EC7D1D" w:rsidRDefault="00316E1C" w:rsidP="00316E1C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:rsidR="00316E1C" w:rsidRPr="00EC7D1D" w:rsidRDefault="00316E1C" w:rsidP="00316E1C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:rsidR="00316E1C" w:rsidRPr="00EC7D1D" w:rsidRDefault="00316E1C" w:rsidP="00316E1C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:rsidR="00316E1C" w:rsidRPr="00EC7D1D" w:rsidRDefault="00316E1C" w:rsidP="00316E1C">
      <w:pPr>
        <w:widowControl/>
        <w:tabs>
          <w:tab w:val="left" w:pos="360"/>
        </w:tabs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1.2 Barwa i współczynnik luminancji </w:t>
      </w: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sym w:font="Symbol" w:char="F062"/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 (Metoda badań zgodna z CIE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 xml:space="preserve"> 15:2004 - źródło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światła D</w:t>
      </w:r>
      <w:r w:rsidRPr="00EC7D1D">
        <w:rPr>
          <w:rFonts w:ascii="Arial" w:hAnsi="Arial" w:cs="Arial"/>
          <w:sz w:val="22"/>
          <w:szCs w:val="22"/>
          <w:vertAlign w:val="subscript"/>
          <w:lang w:eastAsia="pl-PL"/>
        </w:rPr>
        <w:t>65</w:t>
      </w:r>
      <w:r w:rsidRPr="00EC7D1D">
        <w:rPr>
          <w:rFonts w:ascii="Arial" w:hAnsi="Arial" w:cs="Arial"/>
          <w:sz w:val="22"/>
          <w:szCs w:val="22"/>
          <w:lang w:eastAsia="pl-PL"/>
        </w:rPr>
        <w:t>, obserwator normalny CIE 2°, geometria pomiaru 45a/0. Wynikiem końcowym jest wartość średnia z 3 pomiarów)</w:t>
      </w: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spacing w:before="8" w:after="1"/>
        <w:jc w:val="both"/>
        <w:rPr>
          <w:rFonts w:ascii="Arial" w:hAnsi="Arial" w:cs="Arial"/>
          <w:sz w:val="22"/>
          <w:szCs w:val="22"/>
          <w:lang w:eastAsia="pl-PL"/>
        </w:rPr>
      </w:pPr>
    </w:p>
    <w:tbl>
      <w:tblPr>
        <w:tblW w:w="9921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760"/>
        <w:gridCol w:w="761"/>
        <w:gridCol w:w="763"/>
        <w:gridCol w:w="761"/>
        <w:gridCol w:w="763"/>
        <w:gridCol w:w="761"/>
        <w:gridCol w:w="763"/>
        <w:gridCol w:w="761"/>
      </w:tblGrid>
      <w:tr w:rsidR="00316E1C" w:rsidRPr="00EC7D1D" w:rsidTr="00265288">
        <w:trPr>
          <w:trHeight w:hRule="exact" w:val="770"/>
        </w:trPr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27" w:line="268" w:lineRule="exact"/>
              <w:ind w:left="105" w:right="161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Barwa</w:t>
            </w:r>
          </w:p>
        </w:tc>
        <w:tc>
          <w:tcPr>
            <w:tcW w:w="765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2065" w:right="2061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Współrzędne trójchromatyczne</w:t>
            </w:r>
          </w:p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right="138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(</w:t>
            </w:r>
            <w:proofErr w:type="spell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Iluminant</w:t>
            </w:r>
            <w:proofErr w:type="spellEnd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 D</w:t>
            </w:r>
            <w:r w:rsidRPr="00EC7D1D">
              <w:rPr>
                <w:rFonts w:ascii="Arial" w:hAnsi="Arial" w:cs="Arial"/>
                <w:sz w:val="22"/>
                <w:szCs w:val="22"/>
                <w:vertAlign w:val="subscript"/>
                <w:lang w:eastAsia="pl-PL"/>
              </w:rPr>
              <w:t>65</w:t>
            </w: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, obserwator CIE 2°, geometria pomiaru 45/0)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2065" w:right="2061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2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Współczynnik luminancji</w:t>
            </w:r>
          </w:p>
        </w:tc>
        <w:tc>
          <w:tcPr>
            <w:tcW w:w="15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2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x</w:t>
            </w:r>
            <w:proofErr w:type="gramEnd"/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y</w:t>
            </w:r>
            <w:proofErr w:type="gramEnd"/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2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x</w:t>
            </w:r>
            <w:proofErr w:type="gramEnd"/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y</w:t>
            </w:r>
            <w:proofErr w:type="gramEnd"/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2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x</w:t>
            </w:r>
            <w:proofErr w:type="gramEnd"/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y</w:t>
            </w:r>
            <w:proofErr w:type="gramEnd"/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2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x</w:t>
            </w:r>
            <w:proofErr w:type="gramEnd"/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y</w:t>
            </w:r>
            <w:proofErr w:type="gramEnd"/>
          </w:p>
        </w:tc>
      </w:tr>
      <w:tr w:rsidR="00316E1C" w:rsidRPr="00EC7D1D" w:rsidTr="00265288">
        <w:trPr>
          <w:trHeight w:hRule="exact" w:val="6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67" w:lineRule="exact"/>
              <w:ind w:left="113" w:right="11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Fluorescencyjny</w:t>
            </w:r>
          </w:p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" w:line="268" w:lineRule="exact"/>
              <w:ind w:left="105" w:right="321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Żółto-zielony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≥ 0,45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28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0,375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28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0,620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28"/>
              <w:ind w:left="87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0,460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28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0,532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28"/>
              <w:ind w:left="87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0,398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28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0,450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28"/>
              <w:ind w:left="87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0,350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128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0,508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Niebieski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≥ 0,01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4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0,065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4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0,216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0,190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4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0,255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0,245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5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0,210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7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0,144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5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0,030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Biały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≥ 0,17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0,285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3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0,325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7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0,335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3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0,375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7" w:right="8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0,355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3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0,355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7" w:right="86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0,305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2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0,305</w:t>
            </w:r>
          </w:p>
        </w:tc>
      </w:tr>
      <w:tr w:rsidR="00316E1C" w:rsidRPr="00EC7D1D" w:rsidTr="00265288">
        <w:trPr>
          <w:trHeight w:hRule="exact" w:val="35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105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Czerwony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≥ 0,05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0,550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0,358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7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0,640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0,365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7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0,735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0,265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7" w:right="87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0,660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4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0,233</w:t>
            </w:r>
          </w:p>
        </w:tc>
      </w:tr>
      <w:tr w:rsidR="00316E1C" w:rsidRPr="00EC7D1D" w:rsidTr="00265288">
        <w:trPr>
          <w:trHeight w:hRule="exact" w:val="500"/>
        </w:trPr>
        <w:tc>
          <w:tcPr>
            <w:tcW w:w="9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6E1C" w:rsidRPr="00EC7D1D" w:rsidRDefault="00316E1C" w:rsidP="0026528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ind w:left="86" w:right="82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UWAGA: Punkty pola tolerancji leżące na krzywej barw (</w:t>
            </w:r>
            <w:proofErr w:type="spell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spectral</w:t>
            </w:r>
            <w:proofErr w:type="spellEnd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locus</w:t>
            </w:r>
            <w:proofErr w:type="spellEnd"/>
            <w:r w:rsidRPr="00EC7D1D">
              <w:rPr>
                <w:rFonts w:ascii="Arial" w:hAnsi="Arial" w:cs="Arial"/>
                <w:sz w:val="22"/>
                <w:szCs w:val="22"/>
                <w:lang w:eastAsia="pl-PL"/>
              </w:rPr>
              <w:t>), łączy ta krzywa, a nie linia prosta</w:t>
            </w:r>
          </w:p>
        </w:tc>
      </w:tr>
    </w:tbl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Wymagania dla barwy powinny być spełnione w całym okresie eksploatacji pojazdu. </w:t>
      </w: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W czasie trwania gwarancji producenta, w przypadku stwierdzenia widocznych zmian barwy lub uszkodzeń powierzchni folii należy wykonać pomiary kontrolne.</w:t>
      </w:r>
    </w:p>
    <w:p w:rsidR="00316E1C" w:rsidRPr="00EC7D1D" w:rsidRDefault="00316E1C" w:rsidP="00316E1C">
      <w:pPr>
        <w:widowControl/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 Zakres badań </w:t>
      </w:r>
      <w:proofErr w:type="spellStart"/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>narażeniowych</w:t>
      </w:r>
      <w:proofErr w:type="spellEnd"/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 sprawdzenie odporności na działanie substancji chemicznych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- sprawdzenie odporności na działanie mgły solnej 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- sprawdzenie odporności na działanie promieni świetlnych 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 sprawdzenie odporności na ścieranie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 sprawdzenie odporności na działanie temperatury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 sprawdzenie przyczepności do podłoża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 sprawdzenie odporności na ścieranie powłoki / folii odblaskowej / lakieru podczas mycia nadwozia w myjni automatycznej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 sprawdzenie odporności na uderzenia drobnymi kamieniami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 sprawdzenie odporności na penetrację krawędzi folii odblaskowej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Do badań folii odblaskowych danej barwy należy dostarczyć próbki folii naklejonych na płaskie lakierowane podłoże z blachy stalowej (typowe materiały stosowane do produkcji nadwozia pojazdów):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- 9 szt. próbek o wymiarach 10cm x 10cm,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- 3 szt. o wymiarach 10cm x 2,5cm, 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- 1 szt. o wymiarach 12cm x 12cm przygotowaną wg p.2.9.do badania penetracji krawędzi.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Wyniki pomiarów współczynnika odblasku po narażeniu, w geometrii ograniczonej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1"/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=0,33º,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2"/>
      </w:r>
      <w:r w:rsidRPr="00EC7D1D">
        <w:rPr>
          <w:rFonts w:ascii="Arial" w:hAnsi="Arial" w:cs="Arial"/>
          <w:sz w:val="22"/>
          <w:szCs w:val="22"/>
          <w:lang w:eastAsia="pl-PL"/>
        </w:rPr>
        <w:t>=5º, powinny spełniać wymagania z uwzględnieniem dopuszczalnego zmniejszenia wartości w okresie gwarantowanej trwałości zgodnie z tabelą pkt. 1.1.</w:t>
      </w:r>
    </w:p>
    <w:p w:rsidR="00316E1C" w:rsidRPr="00EC7D1D" w:rsidRDefault="00316E1C" w:rsidP="00316E1C">
      <w:pPr>
        <w:widowControl/>
        <w:tabs>
          <w:tab w:val="num" w:pos="851"/>
        </w:tabs>
        <w:suppressAutoHyphens w:val="0"/>
        <w:autoSpaceDE w:val="0"/>
        <w:autoSpaceDN w:val="0"/>
        <w:adjustRightInd w:val="0"/>
        <w:ind w:right="139"/>
        <w:jc w:val="both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Przyczepność folii odblaskowej na krawędziach próbki należy sprawdzić po każdym badaniu odpornościowym. Wymaganie będzie spełnione w przypadku stwierdzenia braku </w:t>
      </w:r>
      <w:proofErr w:type="spellStart"/>
      <w:r w:rsidRPr="00EC7D1D">
        <w:rPr>
          <w:rFonts w:ascii="Arial" w:hAnsi="Arial" w:cs="Arial"/>
          <w:sz w:val="22"/>
          <w:szCs w:val="22"/>
          <w:lang w:eastAsia="pl-PL"/>
        </w:rPr>
        <w:t>delaminacji</w:t>
      </w:r>
      <w:proofErr w:type="spellEnd"/>
      <w:r w:rsidRPr="00EC7D1D">
        <w:rPr>
          <w:rFonts w:ascii="Arial" w:hAnsi="Arial" w:cs="Arial"/>
          <w:sz w:val="22"/>
          <w:szCs w:val="22"/>
          <w:lang w:eastAsia="pl-PL"/>
        </w:rPr>
        <w:t xml:space="preserve"> folii.</w:t>
      </w:r>
    </w:p>
    <w:p w:rsidR="00316E1C" w:rsidRPr="00EC7D1D" w:rsidRDefault="00316E1C" w:rsidP="00316E1C">
      <w:pPr>
        <w:widowControl/>
        <w:suppressAutoHyphens w:val="0"/>
        <w:spacing w:before="120"/>
        <w:ind w:right="142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2.1. Sprawdzenie odporności na działanie substancji chemicznych </w:t>
      </w:r>
    </w:p>
    <w:p w:rsidR="00316E1C" w:rsidRPr="00EC7D1D" w:rsidRDefault="00316E1C" w:rsidP="00316E1C">
      <w:pPr>
        <w:widowControl/>
        <w:suppressAutoHyphens w:val="0"/>
        <w:ind w:right="139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Próbki poddane ośmiogodzinnemu działaniu 10% wodnego roztworu środka do mycia nadwozi. Następnie te same próbki poddać 1 minutowemu działaniu paliwa wzorcowego. Po próbie sprawdzić wystąpienie spękań, złuszczeń, pomarszczeń, </w:t>
      </w:r>
      <w:proofErr w:type="spellStart"/>
      <w:r w:rsidRPr="00EC7D1D">
        <w:rPr>
          <w:rFonts w:ascii="Arial" w:hAnsi="Arial" w:cs="Arial"/>
          <w:sz w:val="22"/>
          <w:szCs w:val="22"/>
          <w:lang w:eastAsia="pl-PL"/>
        </w:rPr>
        <w:t>spęcherzeń</w:t>
      </w:r>
      <w:proofErr w:type="spellEnd"/>
      <w:r w:rsidRPr="00EC7D1D">
        <w:rPr>
          <w:rFonts w:ascii="Arial" w:hAnsi="Arial" w:cs="Arial"/>
          <w:sz w:val="22"/>
          <w:szCs w:val="22"/>
          <w:lang w:eastAsia="pl-PL"/>
        </w:rPr>
        <w:t xml:space="preserve">, korozji lub widocznych zmian barw powierzchni badanych folii. Wykonać pomiary powierzchniowego współczynnika odblasku (geometria ograniczona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1"/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=0,33º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2"/>
      </w:r>
      <w:r w:rsidRPr="00EC7D1D">
        <w:rPr>
          <w:rFonts w:ascii="Arial" w:hAnsi="Arial" w:cs="Arial"/>
          <w:sz w:val="22"/>
          <w:szCs w:val="22"/>
          <w:lang w:eastAsia="pl-PL"/>
        </w:rPr>
        <w:t>=5º).</w:t>
      </w:r>
    </w:p>
    <w:p w:rsidR="00316E1C" w:rsidRPr="00EC7D1D" w:rsidRDefault="00316E1C" w:rsidP="00316E1C">
      <w:pPr>
        <w:widowControl/>
        <w:suppressAutoHyphens w:val="0"/>
        <w:spacing w:before="12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>2.2. Sprawdzenie odporności na działanie mgły solnej</w:t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  </w:t>
      </w:r>
    </w:p>
    <w:p w:rsidR="00316E1C" w:rsidRPr="00EC7D1D" w:rsidRDefault="00316E1C" w:rsidP="00316E1C">
      <w:pPr>
        <w:widowControl/>
        <w:suppressAutoHyphens w:val="0"/>
        <w:ind w:right="139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lastRenderedPageBreak/>
        <w:t xml:space="preserve">Próbki poddane 250 godzinom działania rozpylonego 5 % roztworu wodnego </w:t>
      </w:r>
      <w:proofErr w:type="spellStart"/>
      <w:r w:rsidRPr="00EC7D1D">
        <w:rPr>
          <w:rFonts w:ascii="Arial" w:hAnsi="Arial" w:cs="Arial"/>
          <w:sz w:val="22"/>
          <w:szCs w:val="22"/>
          <w:lang w:eastAsia="pl-PL"/>
        </w:rPr>
        <w:t>NaCl</w:t>
      </w:r>
      <w:proofErr w:type="spellEnd"/>
      <w:r w:rsidRPr="00EC7D1D">
        <w:rPr>
          <w:rFonts w:ascii="Arial" w:hAnsi="Arial" w:cs="Arial"/>
          <w:sz w:val="22"/>
          <w:szCs w:val="22"/>
          <w:lang w:eastAsia="pl-PL"/>
        </w:rPr>
        <w:t xml:space="preserve">, w temperaturze 35°C. Po próbie sprawdzić wystąpienie spękań, złuszczeń, pomarszczeń, śladów korozji, widocznych zmian barwy i innych wad badanych próbek. Wykonać pomiary powierzchniowego współczynnika odblasku (geometria ograniczona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1"/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=0,33º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2"/>
      </w:r>
      <w:r w:rsidRPr="00EC7D1D">
        <w:rPr>
          <w:rFonts w:ascii="Arial" w:hAnsi="Arial" w:cs="Arial"/>
          <w:sz w:val="22"/>
          <w:szCs w:val="22"/>
          <w:lang w:eastAsia="pl-PL"/>
        </w:rPr>
        <w:t>=5º).</w:t>
      </w:r>
    </w:p>
    <w:p w:rsidR="00316E1C" w:rsidRPr="00EC7D1D" w:rsidRDefault="00316E1C" w:rsidP="00316E1C">
      <w:pPr>
        <w:widowControl/>
        <w:suppressAutoHyphens w:val="0"/>
        <w:ind w:right="139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lang w:eastAsia="pl-PL"/>
        </w:rPr>
        <w:t>Próbę należy przeprowadzić na materiale nowym oraz na materiale poddanym próbie odporności na uderzenia drobnymi kamieniami.</w:t>
      </w: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>2.3 Sprawdzenie odporności na działanie promieni świetlnych</w:t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 (Metoda badań zgodna</w:t>
      </w:r>
      <w:r w:rsidRPr="00EC7D1D">
        <w:rPr>
          <w:rFonts w:ascii="Arial" w:hAnsi="Arial" w:cs="Arial"/>
          <w:sz w:val="22"/>
          <w:szCs w:val="22"/>
          <w:lang w:eastAsia="pl-PL"/>
        </w:rPr>
        <w:br/>
        <w:t>z PN-EN ISO 4892-2, metoda A – dla 5 letniej gwarancji trwałości folii czas naświetlania to 1500 h. Parametry próby zamieszczone w Tabeli poniżej:</w:t>
      </w:r>
    </w:p>
    <w:p w:rsidR="00316E1C" w:rsidRPr="00EC7D1D" w:rsidRDefault="00316E1C" w:rsidP="00316E1C">
      <w:pPr>
        <w:widowControl/>
        <w:suppressAutoHyphens w:val="0"/>
        <w:spacing w:after="40"/>
        <w:ind w:right="139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Po próbie wykonać pomiar:</w:t>
      </w:r>
    </w:p>
    <w:p w:rsidR="00316E1C" w:rsidRPr="00EC7D1D" w:rsidRDefault="00316E1C" w:rsidP="00316E1C">
      <w:pPr>
        <w:widowControl/>
        <w:tabs>
          <w:tab w:val="left" w:pos="567"/>
        </w:tabs>
        <w:suppressAutoHyphens w:val="0"/>
        <w:ind w:left="567" w:right="139" w:hanging="283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</w:t>
      </w:r>
      <w:r w:rsidRPr="00EC7D1D">
        <w:rPr>
          <w:rFonts w:ascii="Arial" w:hAnsi="Arial" w:cs="Arial"/>
          <w:sz w:val="22"/>
          <w:szCs w:val="22"/>
          <w:lang w:eastAsia="pl-PL"/>
        </w:rPr>
        <w:tab/>
        <w:t xml:space="preserve">powierzchniowy współczynnik odblasku (geometria ograniczona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1"/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=0,33º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2"/>
      </w:r>
      <w:r w:rsidRPr="00EC7D1D">
        <w:rPr>
          <w:rFonts w:ascii="Arial" w:hAnsi="Arial" w:cs="Arial"/>
          <w:sz w:val="22"/>
          <w:szCs w:val="22"/>
          <w:lang w:eastAsia="pl-PL"/>
        </w:rPr>
        <w:t>=5º).</w:t>
      </w:r>
    </w:p>
    <w:p w:rsidR="00316E1C" w:rsidRPr="00EC7D1D" w:rsidRDefault="00316E1C" w:rsidP="00316E1C">
      <w:pPr>
        <w:widowControl/>
        <w:tabs>
          <w:tab w:val="left" w:pos="540"/>
        </w:tabs>
        <w:suppressAutoHyphens w:val="0"/>
        <w:ind w:left="560" w:hanging="276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-</w:t>
      </w:r>
      <w:r w:rsidRPr="00EC7D1D">
        <w:rPr>
          <w:rFonts w:ascii="Arial" w:hAnsi="Arial" w:cs="Arial"/>
          <w:sz w:val="22"/>
          <w:szCs w:val="22"/>
          <w:lang w:eastAsia="pl-PL"/>
        </w:rPr>
        <w:tab/>
        <w:t>współrzędne trójchromatyczne i współczynnik luminancji (spełnione wymaganie jak dla materiału nowego)</w:t>
      </w:r>
    </w:p>
    <w:p w:rsidR="00316E1C" w:rsidRPr="00EC7D1D" w:rsidRDefault="00316E1C" w:rsidP="00316E1C">
      <w:pPr>
        <w:widowControl/>
        <w:tabs>
          <w:tab w:val="left" w:pos="540"/>
        </w:tabs>
        <w:suppressAutoHyphens w:val="0"/>
        <w:ind w:left="560" w:hanging="276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</w:p>
    <w:p w:rsidR="00316E1C" w:rsidRPr="00EC7D1D" w:rsidRDefault="00316E1C" w:rsidP="00316E1C">
      <w:pPr>
        <w:widowControl/>
        <w:tabs>
          <w:tab w:val="left" w:pos="540"/>
        </w:tabs>
        <w:suppressAutoHyphens w:val="0"/>
        <w:ind w:left="560" w:hanging="276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</w:p>
    <w:p w:rsidR="00316E1C" w:rsidRPr="00EC7D1D" w:rsidRDefault="00316E1C" w:rsidP="00316E1C">
      <w:pPr>
        <w:widowControl/>
        <w:tabs>
          <w:tab w:val="left" w:pos="540"/>
        </w:tabs>
        <w:suppressAutoHyphens w:val="0"/>
        <w:ind w:left="560" w:hanging="276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16E1C" w:rsidRPr="00EC7D1D" w:rsidTr="00265288">
        <w:tc>
          <w:tcPr>
            <w:tcW w:w="3020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Parametry ekspozycji próbek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Lampy chłodzone powietrzem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Lampy chłodzone wodą</w:t>
            </w:r>
          </w:p>
        </w:tc>
      </w:tr>
      <w:tr w:rsidR="00316E1C" w:rsidRPr="00EC7D1D" w:rsidTr="00265288">
        <w:tc>
          <w:tcPr>
            <w:tcW w:w="3020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Cykl światło/ciemność/mgła wodna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Ciągłe naświetlanie, z ekspozycją próbek na mgłę wodną przez 18</w:t>
            </w:r>
            <w:proofErr w:type="gramStart"/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min. co</w:t>
            </w:r>
            <w:proofErr w:type="gramEnd"/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 xml:space="preserve"> dwie godziny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Ciągłe naświetlanie, z ekspozycją próbek na mgłę wodną przez 18</w:t>
            </w:r>
            <w:proofErr w:type="gramStart"/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min. co</w:t>
            </w:r>
            <w:proofErr w:type="gramEnd"/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 xml:space="preserve"> dwie godziny</w:t>
            </w:r>
          </w:p>
        </w:tc>
      </w:tr>
      <w:tr w:rsidR="00316E1C" w:rsidRPr="00EC7D1D" w:rsidTr="00265288">
        <w:tc>
          <w:tcPr>
            <w:tcW w:w="3020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val="en-US" w:eastAsia="pl-PL"/>
              </w:rPr>
            </w:pPr>
            <w:proofErr w:type="spellStart"/>
            <w:r w:rsidRPr="00EC7D1D">
              <w:rPr>
                <w:rFonts w:ascii="Arial" w:eastAsia="Calibri" w:hAnsi="Arial" w:cs="Arial"/>
                <w:sz w:val="22"/>
                <w:szCs w:val="22"/>
                <w:lang w:val="en-US" w:eastAsia="pl-PL"/>
              </w:rPr>
              <w:t>Temperatura</w:t>
            </w:r>
            <w:proofErr w:type="spellEnd"/>
            <w:r w:rsidRPr="00EC7D1D">
              <w:rPr>
                <w:rFonts w:ascii="Arial" w:eastAsia="Calibri" w:hAnsi="Arial" w:cs="Arial"/>
                <w:sz w:val="22"/>
                <w:szCs w:val="22"/>
                <w:lang w:val="en-US" w:eastAsia="pl-PL"/>
              </w:rPr>
              <w:t xml:space="preserve"> BST (Black Standard Thermometer)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(65 ± 3)</w:t>
            </w:r>
            <w:r w:rsidRPr="00EC7D1D">
              <w:rPr>
                <w:rFonts w:ascii="Cambria Math" w:eastAsia="Calibri" w:hAnsi="Cambria Math" w:cs="Cambria Math"/>
                <w:sz w:val="22"/>
                <w:szCs w:val="22"/>
                <w:lang w:eastAsia="pl-PL"/>
              </w:rPr>
              <w:t>⁰</w:t>
            </w: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C</w:t>
            </w:r>
            <w:proofErr w:type="gramEnd"/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proofErr w:type="gramStart"/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(65 ± 3)</w:t>
            </w:r>
            <w:r w:rsidRPr="00EC7D1D">
              <w:rPr>
                <w:rFonts w:ascii="Cambria Math" w:eastAsia="Calibri" w:hAnsi="Cambria Math" w:cs="Cambria Math"/>
                <w:sz w:val="22"/>
                <w:szCs w:val="22"/>
                <w:lang w:eastAsia="pl-PL"/>
              </w:rPr>
              <w:t>⁰</w:t>
            </w: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C</w:t>
            </w:r>
            <w:proofErr w:type="gramEnd"/>
          </w:p>
        </w:tc>
      </w:tr>
      <w:tr w:rsidR="00316E1C" w:rsidRPr="00EC7D1D" w:rsidTr="00265288">
        <w:tc>
          <w:tcPr>
            <w:tcW w:w="3020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Wilgotność względna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(50 ± 5)%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(50 ± 5)%</w:t>
            </w:r>
          </w:p>
        </w:tc>
      </w:tr>
      <w:tr w:rsidR="00316E1C" w:rsidRPr="00EC7D1D" w:rsidTr="00265288">
        <w:tc>
          <w:tcPr>
            <w:tcW w:w="9062" w:type="dxa"/>
            <w:gridSpan w:val="3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Napromieniowanie W/m</w:t>
            </w:r>
            <w:r w:rsidRPr="00EC7D1D">
              <w:rPr>
                <w:rFonts w:ascii="Arial" w:eastAsia="Calibri" w:hAnsi="Arial" w:cs="Arial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</w:tr>
      <w:tr w:rsidR="00316E1C" w:rsidRPr="00EC7D1D" w:rsidTr="00265288">
        <w:tc>
          <w:tcPr>
            <w:tcW w:w="3020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 xml:space="preserve">Dla promieniowania w przedziale 300÷400 </w:t>
            </w:r>
            <w:proofErr w:type="spellStart"/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nm</w:t>
            </w:r>
            <w:proofErr w:type="spellEnd"/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60</w:t>
            </w:r>
          </w:p>
        </w:tc>
      </w:tr>
      <w:tr w:rsidR="00316E1C" w:rsidRPr="00EC7D1D" w:rsidTr="00265288">
        <w:tc>
          <w:tcPr>
            <w:tcW w:w="3020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 xml:space="preserve">Dla promieniowania w przedziale 300÷800 </w:t>
            </w:r>
            <w:proofErr w:type="spellStart"/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nm</w:t>
            </w:r>
            <w:proofErr w:type="spellEnd"/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550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16E1C" w:rsidRPr="00EC7D1D" w:rsidRDefault="00316E1C" w:rsidP="00265288">
            <w:pPr>
              <w:widowControl/>
              <w:suppressAutoHyphens w:val="0"/>
              <w:spacing w:before="120" w:after="40"/>
              <w:ind w:right="142"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630</w:t>
            </w:r>
          </w:p>
        </w:tc>
      </w:tr>
    </w:tbl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2.4. Sprawdzenie odporności na ścieranie </w:t>
      </w:r>
    </w:p>
    <w:p w:rsidR="00316E1C" w:rsidRPr="00EC7D1D" w:rsidRDefault="00316E1C" w:rsidP="00316E1C">
      <w:pPr>
        <w:widowControl/>
        <w:suppressAutoHyphens w:val="0"/>
        <w:spacing w:after="40"/>
        <w:ind w:right="139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Próbę wykonujemy przy pomocy piasku kwarcowego o średnicy ziarna 0,1 ÷0,2 µm. Materiał ścierny powinien być przesypywany przez gładką wewnątrz, pionową rurę o długości 1 m i wymiarach wewnętrznych 80 x 110 mm. Badana próbka powinna być pochylona pod kątek 45° względem otworu wylotowego rury. Na próbkę należy wysypać równomiernie 10 kg materiału ściernego. Po próbie należy zmierzyć wartości powierzchniowego współczynnika odblasku (geometria ograniczona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1"/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=0,33º </w:t>
      </w:r>
      <w:r w:rsidRPr="00EC7D1D">
        <w:rPr>
          <w:rFonts w:ascii="Arial" w:hAnsi="Arial" w:cs="Arial"/>
          <w:sz w:val="22"/>
          <w:szCs w:val="22"/>
          <w:lang w:eastAsia="pl-PL"/>
        </w:rPr>
        <w:sym w:font="Symbol" w:char="F062"/>
      </w:r>
      <w:r w:rsidRPr="00EC7D1D">
        <w:rPr>
          <w:rFonts w:ascii="Arial" w:hAnsi="Arial" w:cs="Arial"/>
          <w:sz w:val="22"/>
          <w:szCs w:val="22"/>
          <w:vertAlign w:val="subscript"/>
          <w:lang w:eastAsia="pl-PL"/>
        </w:rPr>
        <w:t>2</w:t>
      </w:r>
      <w:r w:rsidRPr="00EC7D1D">
        <w:rPr>
          <w:rFonts w:ascii="Arial" w:hAnsi="Arial" w:cs="Arial"/>
          <w:sz w:val="22"/>
          <w:szCs w:val="22"/>
          <w:lang w:eastAsia="pl-PL"/>
        </w:rPr>
        <w:t>=5º), wymagana wartość ≥70% wartości przed próbą oraz przyczepność folii na krawędziach próbki.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2.5. Sprawdzenie odporności na działanie temperatury </w:t>
      </w:r>
    </w:p>
    <w:p w:rsidR="00316E1C" w:rsidRPr="00EC7D1D" w:rsidRDefault="00316E1C" w:rsidP="00316E1C">
      <w:pPr>
        <w:widowControl/>
        <w:suppressAutoHyphens w:val="0"/>
        <w:spacing w:after="40"/>
        <w:ind w:right="139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Sprawdzenie odporności na działanie temperatury powinno być przeprowadzone poprzez zbadanie:  </w:t>
      </w:r>
    </w:p>
    <w:p w:rsidR="00316E1C" w:rsidRPr="00EC7D1D" w:rsidRDefault="00316E1C" w:rsidP="00316E1C">
      <w:pPr>
        <w:widowControl/>
        <w:numPr>
          <w:ilvl w:val="0"/>
          <w:numId w:val="4"/>
        </w:numPr>
        <w:suppressAutoHyphens w:val="0"/>
        <w:spacing w:after="40"/>
        <w:ind w:left="426" w:right="139"/>
        <w:contextualSpacing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odporności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na działanie podwyższonej temperatury: próbkę należy umieścić w suszarce laboratoryjnej (komorze klimatycznej itp.) i wygrzewać w temperaturze + 70°C przez 12h, sposób zapewniający utrzymywanie się jednakowej temperatury w różnych miejscach próbki. Bezpośrednio po zakończeniu wygrzewania próbkę schłodzić szokowo przez wrzucenie do wody o temperaturze 21ºC ±2ºC, w której należy ją przetrzymać przez 0,5h, aż osiągnie temperaturę wody. Po zakończeniu badania próbkę przenosi się w stan </w:t>
      </w:r>
      <w:r w:rsidRPr="00EC7D1D">
        <w:rPr>
          <w:rFonts w:ascii="Arial" w:hAnsi="Arial" w:cs="Arial"/>
          <w:sz w:val="22"/>
          <w:szCs w:val="22"/>
          <w:lang w:eastAsia="pl-PL"/>
        </w:rPr>
        <w:lastRenderedPageBreak/>
        <w:t>spoczynku na 0,5h do temperatury pokojowej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 xml:space="preserve"> (15 ÷ 25)</w:t>
      </w:r>
      <w:r w:rsidRPr="00EC7D1D">
        <w:rPr>
          <w:rFonts w:ascii="Cambria Math" w:hAnsi="Cambria Math" w:cs="Cambria Math"/>
          <w:sz w:val="22"/>
          <w:szCs w:val="22"/>
          <w:lang w:eastAsia="pl-PL"/>
        </w:rPr>
        <w:t>⁰</w:t>
      </w:r>
      <w:r w:rsidRPr="00EC7D1D">
        <w:rPr>
          <w:rFonts w:ascii="Arial" w:hAnsi="Arial" w:cs="Arial"/>
          <w:sz w:val="22"/>
          <w:szCs w:val="22"/>
          <w:lang w:eastAsia="pl-PL"/>
        </w:rPr>
        <w:t>C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i wilgotności względnej (15 ÷ 60)%..</w:t>
      </w:r>
    </w:p>
    <w:p w:rsidR="00316E1C" w:rsidRPr="00EC7D1D" w:rsidRDefault="00316E1C" w:rsidP="00316E1C">
      <w:pPr>
        <w:widowControl/>
        <w:numPr>
          <w:ilvl w:val="0"/>
          <w:numId w:val="4"/>
        </w:numPr>
        <w:suppressAutoHyphens w:val="0"/>
        <w:spacing w:after="40"/>
        <w:ind w:left="426" w:right="139"/>
        <w:contextualSpacing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odporności na dzi</w:t>
      </w:r>
      <w:r>
        <w:rPr>
          <w:rFonts w:ascii="Arial" w:hAnsi="Arial" w:cs="Arial"/>
          <w:sz w:val="22"/>
          <w:szCs w:val="22"/>
          <w:lang w:eastAsia="pl-PL"/>
        </w:rPr>
        <w:t>ałanie  zmiennych  temperatur</w:t>
      </w:r>
      <w:proofErr w:type="gramStart"/>
      <w:r>
        <w:rPr>
          <w:rFonts w:ascii="Arial" w:hAnsi="Arial" w:cs="Arial"/>
          <w:sz w:val="22"/>
          <w:szCs w:val="22"/>
          <w:lang w:eastAsia="pl-PL"/>
        </w:rPr>
        <w:t>: </w:t>
      </w:r>
      <w:bookmarkStart w:id="0" w:name="_GoBack"/>
      <w:bookmarkEnd w:id="0"/>
      <w:r w:rsidRPr="00EC7D1D">
        <w:rPr>
          <w:rFonts w:ascii="Arial" w:hAnsi="Arial" w:cs="Arial"/>
          <w:sz w:val="22"/>
          <w:szCs w:val="22"/>
          <w:lang w:eastAsia="pl-PL"/>
        </w:rPr>
        <w:t>próbkę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należy poddać przemiennemu działaniu wysokiej i niskiej temperatury, a następnie określić i ocenić powstałe ewentualnie w wyniku tego badania zmiany właściwości powłok nawierzchniowych.  Próbę należy przeprowadzić zgodnie z tabelą poniżej.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1843"/>
        <w:gridCol w:w="2409"/>
      </w:tblGrid>
      <w:tr w:rsidR="00316E1C" w:rsidRPr="00EC7D1D" w:rsidTr="00265288">
        <w:tc>
          <w:tcPr>
            <w:tcW w:w="2121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Czas trwania testu [h]</w:t>
            </w:r>
          </w:p>
        </w:tc>
        <w:tc>
          <w:tcPr>
            <w:tcW w:w="1843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Temperatura [</w:t>
            </w:r>
            <w:r w:rsidRPr="00EC7D1D">
              <w:rPr>
                <w:rFonts w:ascii="Cambria Math" w:eastAsia="Calibri" w:hAnsi="Cambria Math" w:cs="Cambria Math"/>
                <w:sz w:val="22"/>
                <w:szCs w:val="22"/>
                <w:lang w:eastAsia="pl-PL"/>
              </w:rPr>
              <w:t>⁰</w:t>
            </w: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C]</w:t>
            </w:r>
          </w:p>
        </w:tc>
        <w:tc>
          <w:tcPr>
            <w:tcW w:w="2409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Wilgotność względna [%]</w:t>
            </w:r>
          </w:p>
        </w:tc>
      </w:tr>
      <w:tr w:rsidR="00316E1C" w:rsidRPr="00EC7D1D" w:rsidTr="00265288">
        <w:tc>
          <w:tcPr>
            <w:tcW w:w="2121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0-2</w:t>
            </w:r>
          </w:p>
        </w:tc>
        <w:tc>
          <w:tcPr>
            <w:tcW w:w="1843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+ 70 ± 3</w:t>
            </w:r>
          </w:p>
        </w:tc>
        <w:tc>
          <w:tcPr>
            <w:tcW w:w="2409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50± 5</w:t>
            </w:r>
          </w:p>
        </w:tc>
      </w:tr>
      <w:tr w:rsidR="00316E1C" w:rsidRPr="00EC7D1D" w:rsidTr="00265288">
        <w:tc>
          <w:tcPr>
            <w:tcW w:w="2121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3-4</w:t>
            </w:r>
          </w:p>
        </w:tc>
        <w:tc>
          <w:tcPr>
            <w:tcW w:w="1843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+23 ± 3</w:t>
            </w:r>
          </w:p>
        </w:tc>
        <w:tc>
          <w:tcPr>
            <w:tcW w:w="2409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50± 5</w:t>
            </w:r>
          </w:p>
        </w:tc>
      </w:tr>
      <w:tr w:rsidR="00316E1C" w:rsidRPr="00EC7D1D" w:rsidTr="00265288">
        <w:tc>
          <w:tcPr>
            <w:tcW w:w="2121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5-6</w:t>
            </w:r>
          </w:p>
        </w:tc>
        <w:tc>
          <w:tcPr>
            <w:tcW w:w="1843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-30 ± 3</w:t>
            </w:r>
          </w:p>
        </w:tc>
        <w:tc>
          <w:tcPr>
            <w:tcW w:w="2409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-------</w:t>
            </w:r>
          </w:p>
        </w:tc>
      </w:tr>
      <w:tr w:rsidR="00316E1C" w:rsidRPr="00EC7D1D" w:rsidTr="00265288">
        <w:tc>
          <w:tcPr>
            <w:tcW w:w="2121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7-8</w:t>
            </w:r>
          </w:p>
        </w:tc>
        <w:tc>
          <w:tcPr>
            <w:tcW w:w="1843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+23 ± 3</w:t>
            </w:r>
          </w:p>
        </w:tc>
        <w:tc>
          <w:tcPr>
            <w:tcW w:w="2409" w:type="dxa"/>
            <w:shd w:val="clear" w:color="auto" w:fill="auto"/>
          </w:tcPr>
          <w:p w:rsidR="00316E1C" w:rsidRPr="00EC7D1D" w:rsidRDefault="00316E1C" w:rsidP="00265288">
            <w:pPr>
              <w:widowControl/>
              <w:suppressAutoHyphens w:val="0"/>
              <w:spacing w:after="40"/>
              <w:ind w:right="139"/>
              <w:contextualSpacing/>
              <w:jc w:val="center"/>
              <w:outlineLvl w:val="0"/>
              <w:rPr>
                <w:rFonts w:ascii="Arial" w:eastAsia="Calibri" w:hAnsi="Arial" w:cs="Arial"/>
                <w:sz w:val="22"/>
                <w:szCs w:val="22"/>
                <w:lang w:eastAsia="pl-PL"/>
              </w:rPr>
            </w:pPr>
            <w:r w:rsidRPr="00EC7D1D">
              <w:rPr>
                <w:rFonts w:ascii="Arial" w:eastAsia="Calibri" w:hAnsi="Arial" w:cs="Arial"/>
                <w:sz w:val="22"/>
                <w:szCs w:val="22"/>
                <w:lang w:eastAsia="pl-PL"/>
              </w:rPr>
              <w:t>50± 5</w:t>
            </w:r>
          </w:p>
        </w:tc>
      </w:tr>
    </w:tbl>
    <w:p w:rsidR="00316E1C" w:rsidRPr="00EC7D1D" w:rsidRDefault="00316E1C" w:rsidP="00316E1C">
      <w:pPr>
        <w:widowControl/>
        <w:suppressAutoHyphens w:val="0"/>
        <w:spacing w:after="40"/>
        <w:ind w:left="426" w:right="139"/>
        <w:contextualSpacing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Po teście należy sprawdzić przyczepność folii na krawędziach próbki, wykonać pomiar barwy </w:t>
      </w:r>
    </w:p>
    <w:p w:rsidR="00316E1C" w:rsidRPr="00EC7D1D" w:rsidRDefault="00316E1C" w:rsidP="00316E1C">
      <w:pPr>
        <w:widowControl/>
        <w:suppressAutoHyphens w:val="0"/>
        <w:spacing w:after="40"/>
        <w:ind w:left="426" w:right="139"/>
        <w:contextualSpacing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i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współczynnika odblasku.</w:t>
      </w:r>
    </w:p>
    <w:p w:rsidR="00316E1C" w:rsidRPr="00EC7D1D" w:rsidRDefault="00316E1C" w:rsidP="00316E1C">
      <w:pPr>
        <w:widowControl/>
        <w:suppressAutoHyphens w:val="0"/>
        <w:spacing w:after="40"/>
        <w:ind w:right="139"/>
        <w:contextualSpacing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>2.6. Sprawdzenie przyczepności do podłoża</w:t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 </w:t>
      </w:r>
    </w:p>
    <w:p w:rsidR="00316E1C" w:rsidRPr="00EC7D1D" w:rsidRDefault="00316E1C" w:rsidP="00316E1C">
      <w:pPr>
        <w:widowControl/>
        <w:suppressAutoHyphens w:val="0"/>
        <w:spacing w:after="40"/>
        <w:ind w:right="139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Sprawdzenie odporności na oderwanie folii od podłoża sprawdza się poprzez przeprowadzenie testu przyczepności na płaskim lakierowanym podłożu z blachy stalowej (pasek o szerokości 25mm, odrywany pod kątem 90</w:t>
      </w:r>
      <w:r w:rsidRPr="00EC7D1D">
        <w:rPr>
          <w:rFonts w:ascii="Cambria Math" w:hAnsi="Cambria Math" w:cs="Cambria Math"/>
          <w:sz w:val="22"/>
          <w:szCs w:val="22"/>
          <w:lang w:eastAsia="pl-PL"/>
        </w:rPr>
        <w:t>⁰</w:t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 z prędkością 300 mm/min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). Badanie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wykonuje się na próbkach: </w:t>
      </w:r>
    </w:p>
    <w:p w:rsidR="00316E1C" w:rsidRPr="00EC7D1D" w:rsidRDefault="00316E1C" w:rsidP="00316E1C">
      <w:pPr>
        <w:widowControl/>
        <w:numPr>
          <w:ilvl w:val="0"/>
          <w:numId w:val="5"/>
        </w:numPr>
        <w:suppressAutoHyphens w:val="0"/>
        <w:spacing w:after="40"/>
        <w:ind w:right="139"/>
        <w:contextualSpacing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aklimatyzowanej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24h w 23°C ±2°C</w:t>
      </w:r>
    </w:p>
    <w:p w:rsidR="00316E1C" w:rsidRPr="00EC7D1D" w:rsidRDefault="00316E1C" w:rsidP="00316E1C">
      <w:pPr>
        <w:widowControl/>
        <w:numPr>
          <w:ilvl w:val="0"/>
          <w:numId w:val="5"/>
        </w:numPr>
        <w:suppressAutoHyphens w:val="0"/>
        <w:spacing w:after="40"/>
        <w:ind w:right="139"/>
        <w:contextualSpacing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umieszczonej na 1h 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w  temperaturze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−30°C ±2°C a następnie aklimatyzowanej przez 24 h </w:t>
      </w:r>
      <w:r w:rsidRPr="00EC7D1D">
        <w:rPr>
          <w:rFonts w:ascii="Arial" w:hAnsi="Arial" w:cs="Arial"/>
          <w:sz w:val="22"/>
          <w:szCs w:val="22"/>
          <w:lang w:eastAsia="pl-PL"/>
        </w:rPr>
        <w:br/>
        <w:t xml:space="preserve">w temperaturze 23°C ±2°C; </w:t>
      </w:r>
    </w:p>
    <w:p w:rsidR="00316E1C" w:rsidRPr="00EC7D1D" w:rsidRDefault="00316E1C" w:rsidP="00316E1C">
      <w:pPr>
        <w:widowControl/>
        <w:numPr>
          <w:ilvl w:val="0"/>
          <w:numId w:val="5"/>
        </w:numPr>
        <w:suppressAutoHyphens w:val="0"/>
        <w:spacing w:after="40"/>
        <w:ind w:right="139"/>
        <w:contextualSpacing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umieszczonej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przez 1 h w temperaturze +70°C ±2°C a następnie aklimatyzowanej przez 24 h </w:t>
      </w:r>
      <w:r w:rsidRPr="00EC7D1D">
        <w:rPr>
          <w:rFonts w:ascii="Arial" w:hAnsi="Arial" w:cs="Arial"/>
          <w:sz w:val="22"/>
          <w:szCs w:val="22"/>
          <w:lang w:eastAsia="pl-PL"/>
        </w:rPr>
        <w:br/>
        <w:t xml:space="preserve">w temperaturze 23°C ±2°C; </w:t>
      </w:r>
    </w:p>
    <w:p w:rsidR="00316E1C" w:rsidRPr="00EC7D1D" w:rsidRDefault="00316E1C" w:rsidP="00316E1C">
      <w:pPr>
        <w:widowControl/>
        <w:suppressAutoHyphens w:val="0"/>
        <w:spacing w:after="40"/>
        <w:ind w:right="139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Wymaganie będzie spełnione dla siły przyczepności do podłoża w każdej próbie: ≥ 12,5 N/25mm. lub całkowitego uszkodzenia folii (zerwanie, pęknięcie, rozciągnięcie). 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>2.7. Sprawdzenie odporności na ścieranie powłoki / folii odblaskowej / lakieru podczas mycia nadwozia w myjni automatycznej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Badanie odporności na ścieranie powłoki / folii odblaskowej / lakieru podczas mycia nadwozia w myjni automatycznej.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Do badania wykorzystujemy aparaturę, która symuluje automatyczną myjnię samochodową w skali laboratoryjnej, składająca się z: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- tekstylnej szczotki myjącej (paski z poliestru);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- dwóch dysz natryskujących, wykonanych ze stali nierdzewnej, umiejscowionych symetrycznie po dwóch stronach szczotki myjącej pod kątem 60°,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Metoda badawcza: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- szczotka myjąca obraca się z prędkością 85 obrotów na minutę, obrót szczotki myjącej zawsze w kierunku przeciwnym do kierunku przemieszczania się próbek testowych,</w:t>
      </w:r>
    </w:p>
    <w:p w:rsidR="00316E1C" w:rsidRPr="00EC7D1D" w:rsidRDefault="00316E1C" w:rsidP="00316E1C">
      <w:pPr>
        <w:widowControl/>
        <w:suppressAutoHyphens w:val="0"/>
        <w:ind w:right="-426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- próbki spryskiwane są strumieniem środka myjącego z prędkością 2,2 l/min, pod ciśnieniem 2,5 ÷ 3,5 bar,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- prędkość przesuwu próbek pod szczotką myjącą: 5m/min.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- zawiesina myjąca: standardowe odczynniki chemiczne stosowane na myjniach samochodowych,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 xml:space="preserve">- ilość powtórzeń: 50 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- temperatura próby: 40°C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Po próbie sprawdzenie: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- współrzędnych trójchromatycznych i współczynnika luminancji,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>- współczynnika odblasku.</w:t>
      </w:r>
    </w:p>
    <w:p w:rsidR="00316E1C" w:rsidRPr="00EC7D1D" w:rsidRDefault="00316E1C" w:rsidP="00316E1C">
      <w:pPr>
        <w:widowControl/>
        <w:suppressAutoHyphens w:val="0"/>
        <w:rPr>
          <w:rFonts w:ascii="Arial" w:eastAsia="Calibri" w:hAnsi="Arial" w:cs="Arial"/>
          <w:sz w:val="22"/>
          <w:szCs w:val="22"/>
          <w:lang w:eastAsia="pl-PL"/>
        </w:rPr>
      </w:pPr>
      <w:r w:rsidRPr="00EC7D1D">
        <w:rPr>
          <w:rFonts w:ascii="Arial" w:eastAsia="Calibri" w:hAnsi="Arial" w:cs="Arial"/>
          <w:sz w:val="22"/>
          <w:szCs w:val="22"/>
          <w:lang w:eastAsia="pl-PL"/>
        </w:rPr>
        <w:t xml:space="preserve">- przyczepności folii na krawędziach próbki 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lastRenderedPageBreak/>
        <w:t>2.8 Badanie odporności na uderzenia drobnymi kamieniami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Przed badaniem próbki folii należy kondycjonować przez 16h w temperaturze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 xml:space="preserve"> (23 ± 2)</w:t>
      </w:r>
      <w:r w:rsidRPr="00EC7D1D">
        <w:rPr>
          <w:rFonts w:ascii="Cambria Math" w:hAnsi="Cambria Math" w:cs="Cambria Math"/>
          <w:sz w:val="22"/>
          <w:szCs w:val="22"/>
          <w:lang w:eastAsia="pl-PL"/>
        </w:rPr>
        <w:t>⁰</w:t>
      </w:r>
      <w:r w:rsidRPr="00EC7D1D">
        <w:rPr>
          <w:rFonts w:ascii="Arial" w:hAnsi="Arial" w:cs="Arial"/>
          <w:sz w:val="22"/>
          <w:szCs w:val="22"/>
          <w:lang w:eastAsia="pl-PL"/>
        </w:rPr>
        <w:t>C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i wilgotności względnej (50 ± 5)%. Badanie przebiega w temperaturze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 xml:space="preserve"> (23 ± 2)</w:t>
      </w:r>
      <w:r w:rsidRPr="00EC7D1D">
        <w:rPr>
          <w:rFonts w:ascii="Cambria Math" w:hAnsi="Cambria Math" w:cs="Cambria Math"/>
          <w:sz w:val="22"/>
          <w:szCs w:val="22"/>
          <w:lang w:eastAsia="pl-PL"/>
        </w:rPr>
        <w:t>⁰</w:t>
      </w:r>
      <w:r w:rsidRPr="00EC7D1D">
        <w:rPr>
          <w:rFonts w:ascii="Arial" w:hAnsi="Arial" w:cs="Arial"/>
          <w:sz w:val="22"/>
          <w:szCs w:val="22"/>
          <w:lang w:eastAsia="pl-PL"/>
        </w:rPr>
        <w:t>C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i wilgotności względnej (50 ± 5)%.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Do przeprowadzenia jednego badania odporności materiału foliowego na uderzenie kamieniami, do </w:t>
      </w:r>
      <w:proofErr w:type="spellStart"/>
      <w:r w:rsidRPr="00EC7D1D">
        <w:rPr>
          <w:rFonts w:ascii="Arial" w:hAnsi="Arial" w:cs="Arial"/>
          <w:sz w:val="22"/>
          <w:szCs w:val="22"/>
          <w:lang w:eastAsia="pl-PL"/>
        </w:rPr>
        <w:t>Grawelometru</w:t>
      </w:r>
      <w:proofErr w:type="spellEnd"/>
      <w:r w:rsidRPr="00EC7D1D">
        <w:rPr>
          <w:rFonts w:ascii="Arial" w:hAnsi="Arial" w:cs="Arial"/>
          <w:sz w:val="22"/>
          <w:szCs w:val="22"/>
          <w:lang w:eastAsia="pl-PL"/>
        </w:rPr>
        <w:t xml:space="preserve"> należy załadować 1000</w:t>
      </w:r>
      <w:r w:rsidRPr="00EC7D1D">
        <w:rPr>
          <w:rFonts w:ascii="Arial" w:hAnsi="Arial" w:cs="Arial"/>
          <w:sz w:val="22"/>
          <w:szCs w:val="22"/>
          <w:vertAlign w:val="superscript"/>
          <w:lang w:eastAsia="pl-PL"/>
        </w:rPr>
        <w:t>+40</w:t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 g żwiru. Jedno badanie składa się z dwóch cykli, każdy trwający (10 ± 2) s, w 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trakcie którego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próbka jest narażona na działanie 500</w:t>
      </w:r>
      <w:r w:rsidRPr="00EC7D1D">
        <w:rPr>
          <w:rFonts w:ascii="Arial" w:hAnsi="Arial" w:cs="Arial"/>
          <w:sz w:val="22"/>
          <w:szCs w:val="22"/>
          <w:vertAlign w:val="superscript"/>
          <w:lang w:eastAsia="pl-PL"/>
        </w:rPr>
        <w:t>+20</w:t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 g żwiru.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Żwir wrzucany jest z dyszy pod ciśnieniem (100±5) </w:t>
      </w:r>
      <w:proofErr w:type="spellStart"/>
      <w:r w:rsidRPr="00EC7D1D">
        <w:rPr>
          <w:rFonts w:ascii="Arial" w:hAnsi="Arial" w:cs="Arial"/>
          <w:sz w:val="22"/>
          <w:szCs w:val="22"/>
          <w:lang w:eastAsia="pl-PL"/>
        </w:rPr>
        <w:t>kPa</w:t>
      </w:r>
      <w:proofErr w:type="spellEnd"/>
      <w:r w:rsidRPr="00EC7D1D">
        <w:rPr>
          <w:rFonts w:ascii="Arial" w:hAnsi="Arial" w:cs="Arial"/>
          <w:sz w:val="22"/>
          <w:szCs w:val="22"/>
          <w:lang w:eastAsia="pl-PL"/>
        </w:rPr>
        <w:t xml:space="preserve">. Kąt między osią dyszy a płaszczyzną próbki podczas testu powinien 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wynosić  (54 ± 1)</w:t>
      </w:r>
      <w:r w:rsidRPr="00EC7D1D">
        <w:rPr>
          <w:rFonts w:ascii="Cambria Math" w:hAnsi="Cambria Math" w:cs="Cambria Math"/>
          <w:sz w:val="22"/>
          <w:szCs w:val="22"/>
          <w:lang w:eastAsia="pl-PL"/>
        </w:rPr>
        <w:t>⁰</w:t>
      </w:r>
      <w:r w:rsidRPr="00EC7D1D">
        <w:rPr>
          <w:rFonts w:ascii="Arial" w:hAnsi="Arial" w:cs="Arial"/>
          <w:sz w:val="22"/>
          <w:szCs w:val="22"/>
          <w:lang w:eastAsia="pl-PL"/>
        </w:rPr>
        <w:t xml:space="preserve"> a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odległość płaszczyzny próbki od dyszy: (290 ± 1) mm.  Testowana powierzchnia próbki powinna wynosić 80 mm x 80 mm. 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Po teście należy przeprowadzić ocenę wzrokową wg normy ISO 20567-1. Wymaganie będzie spełnione dla stopnia uszkodzeń ≤ 2.0 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oaz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pomiar powierzchniowego współczynnika odblasku. 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C7D1D">
        <w:rPr>
          <w:rFonts w:ascii="Arial" w:hAnsi="Arial" w:cs="Arial"/>
          <w:b/>
          <w:sz w:val="22"/>
          <w:szCs w:val="22"/>
          <w:u w:val="single"/>
          <w:lang w:eastAsia="pl-PL"/>
        </w:rPr>
        <w:t>2.9 Badanie odporności na penetrację ciętej krawędzi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Metoda wymaga zastosowania barwnikowego środka penetrującego. Środki penetrujące to komercyjnie dostępne roztwory barwiące lub aerozole, będące mieszanką lekkich olejów parafinowych, tj. biały olej mineralny, lekkich destylatów naftowych, tj. </w:t>
      </w:r>
      <w:proofErr w:type="spellStart"/>
      <w:r w:rsidRPr="00EC7D1D">
        <w:rPr>
          <w:rFonts w:ascii="Arial" w:hAnsi="Arial" w:cs="Arial"/>
          <w:sz w:val="22"/>
          <w:szCs w:val="22"/>
          <w:lang w:eastAsia="pl-PL"/>
        </w:rPr>
        <w:t>kerozyna</w:t>
      </w:r>
      <w:proofErr w:type="spellEnd"/>
      <w:r w:rsidRPr="00EC7D1D">
        <w:rPr>
          <w:rFonts w:ascii="Arial" w:hAnsi="Arial" w:cs="Arial"/>
          <w:sz w:val="22"/>
          <w:szCs w:val="22"/>
          <w:lang w:eastAsia="pl-PL"/>
        </w:rPr>
        <w:t xml:space="preserve"> oraz barwnika. Obecność innych rozpuszczalników, chemikaliów i dodatków jest dopuszczalna. 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>Próbka przeznaczona do badań powinna zostać wycięta (zgodnie ze specyfikacją techniczną producenta folii odblaskowej) z większego kawałka folii, w kształcie kwadratu o wymiarach boku</w:t>
      </w:r>
      <w:r w:rsidRPr="00EC7D1D">
        <w:rPr>
          <w:rFonts w:ascii="Arial" w:hAnsi="Arial" w:cs="Arial"/>
          <w:sz w:val="22"/>
          <w:szCs w:val="22"/>
          <w:lang w:eastAsia="pl-PL"/>
        </w:rPr>
        <w:br/>
        <w:t xml:space="preserve">10 cm x 10 cm i naklejona na blachę o </w:t>
      </w:r>
      <w:proofErr w:type="gramStart"/>
      <w:r w:rsidRPr="00EC7D1D">
        <w:rPr>
          <w:rFonts w:ascii="Arial" w:hAnsi="Arial" w:cs="Arial"/>
          <w:sz w:val="22"/>
          <w:szCs w:val="22"/>
          <w:lang w:eastAsia="pl-PL"/>
        </w:rPr>
        <w:t>wymiarach co</w:t>
      </w:r>
      <w:proofErr w:type="gramEnd"/>
      <w:r w:rsidRPr="00EC7D1D">
        <w:rPr>
          <w:rFonts w:ascii="Arial" w:hAnsi="Arial" w:cs="Arial"/>
          <w:sz w:val="22"/>
          <w:szCs w:val="22"/>
          <w:lang w:eastAsia="pl-PL"/>
        </w:rPr>
        <w:t xml:space="preserve"> najmniej 12 cm x 12 cm. Na próbkę należy nanieść substancję bawiącą zgodnie z opisem producenta, uwzględniając zwłaszcza okolice krawędzi. Tak przygotowana próbkę należy pozostawić na 15 min. a następnie nadmiar substancji usunąć za pomocą czystej i miękkiej szmatki. </w:t>
      </w:r>
    </w:p>
    <w:p w:rsidR="00316E1C" w:rsidRPr="00EC7D1D" w:rsidRDefault="00316E1C" w:rsidP="00316E1C">
      <w:pPr>
        <w:widowControl/>
        <w:suppressAutoHyphens w:val="0"/>
        <w:spacing w:before="120" w:after="40"/>
        <w:ind w:right="142"/>
        <w:jc w:val="both"/>
        <w:outlineLvl w:val="0"/>
        <w:rPr>
          <w:rFonts w:ascii="Arial" w:hAnsi="Arial" w:cs="Arial"/>
          <w:sz w:val="22"/>
          <w:szCs w:val="22"/>
          <w:lang w:eastAsia="pl-PL"/>
        </w:rPr>
      </w:pPr>
      <w:r w:rsidRPr="00EC7D1D">
        <w:rPr>
          <w:rFonts w:ascii="Arial" w:hAnsi="Arial" w:cs="Arial"/>
          <w:sz w:val="22"/>
          <w:szCs w:val="22"/>
          <w:lang w:eastAsia="pl-PL"/>
        </w:rPr>
        <w:t xml:space="preserve">Po usunięciu barwnika próbkę poddajemy inspekcji wzrokowej. Krawędzie badanej próbki nie mogą wykazywać śladów penetracji barwnika w głąb struktury materiału odblaskowego. </w:t>
      </w:r>
    </w:p>
    <w:p w:rsidR="00316E1C" w:rsidRPr="00EC7D1D" w:rsidRDefault="00316E1C" w:rsidP="00316E1C">
      <w:pPr>
        <w:spacing w:line="100" w:lineRule="atLeast"/>
        <w:ind w:left="709" w:hanging="630"/>
        <w:jc w:val="both"/>
        <w:rPr>
          <w:rFonts w:ascii="Arial" w:hAnsi="Arial" w:cs="Arial"/>
          <w:sz w:val="22"/>
          <w:szCs w:val="22"/>
        </w:rPr>
      </w:pPr>
    </w:p>
    <w:p w:rsidR="00316E1C" w:rsidRPr="00EC7D1D" w:rsidRDefault="00316E1C" w:rsidP="00316E1C">
      <w:pPr>
        <w:tabs>
          <w:tab w:val="left" w:pos="1701"/>
        </w:tabs>
        <w:spacing w:line="100" w:lineRule="atLeast"/>
        <w:ind w:left="1701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1701"/>
        </w:tabs>
        <w:spacing w:line="100" w:lineRule="atLeast"/>
        <w:ind w:left="1701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316E1C">
      <w:pPr>
        <w:tabs>
          <w:tab w:val="left" w:pos="1701"/>
        </w:tabs>
        <w:spacing w:line="100" w:lineRule="atLeast"/>
        <w:ind w:left="1701" w:right="-1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16E1C" w:rsidRPr="00EC7D1D" w:rsidRDefault="00316E1C" w:rsidP="00172594">
      <w:pPr>
        <w:ind w:left="993"/>
        <w:jc w:val="both"/>
        <w:rPr>
          <w:rFonts w:ascii="Arial" w:hAnsi="Arial" w:cs="Arial"/>
          <w:sz w:val="22"/>
          <w:szCs w:val="22"/>
        </w:rPr>
      </w:pPr>
    </w:p>
    <w:p w:rsidR="00172594" w:rsidRPr="00EC7D1D" w:rsidRDefault="00172594" w:rsidP="00172594">
      <w:pPr>
        <w:pStyle w:val="Mario"/>
        <w:spacing w:line="100" w:lineRule="atLeast"/>
        <w:rPr>
          <w:rFonts w:cs="Arial"/>
          <w:b/>
          <w:bCs/>
          <w:sz w:val="22"/>
          <w:szCs w:val="22"/>
        </w:rPr>
      </w:pPr>
    </w:p>
    <w:p w:rsidR="00907CAE" w:rsidRDefault="00907CAE"/>
    <w:sectPr w:rsidR="00907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1311C"/>
    <w:multiLevelType w:val="hybridMultilevel"/>
    <w:tmpl w:val="25989B08"/>
    <w:lvl w:ilvl="0" w:tplc="4ABA3C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42339D2"/>
    <w:multiLevelType w:val="multilevel"/>
    <w:tmpl w:val="E1EA8F1E"/>
    <w:lvl w:ilvl="0">
      <w:start w:val="1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5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06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2">
    <w:nsid w:val="16BC4DF6"/>
    <w:multiLevelType w:val="hybridMultilevel"/>
    <w:tmpl w:val="C7C8B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D7FE9"/>
    <w:multiLevelType w:val="hybridMultilevel"/>
    <w:tmpl w:val="B63CC11A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A2B0CEA"/>
    <w:multiLevelType w:val="hybridMultilevel"/>
    <w:tmpl w:val="9A3A12B8"/>
    <w:lvl w:ilvl="0" w:tplc="A70AC91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85EE5A8E">
      <w:start w:val="1"/>
      <w:numFmt w:val="lowerLetter"/>
      <w:lvlText w:val="%2)"/>
      <w:lvlJc w:val="left"/>
      <w:pPr>
        <w:ind w:left="2520" w:hanging="360"/>
      </w:pPr>
      <w:rPr>
        <w:rFonts w:ascii="Arial" w:eastAsia="Times New Roman" w:hAnsi="Arial" w:cs="Arial"/>
      </w:rPr>
    </w:lvl>
    <w:lvl w:ilvl="2" w:tplc="BC3CF72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96C3C2C"/>
    <w:multiLevelType w:val="hybridMultilevel"/>
    <w:tmpl w:val="D8EEE22C"/>
    <w:lvl w:ilvl="0" w:tplc="D9AE871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4A0AE2C4">
      <w:start w:val="1"/>
      <w:numFmt w:val="lowerLetter"/>
      <w:lvlText w:val="%2)"/>
      <w:lvlJc w:val="right"/>
      <w:pPr>
        <w:ind w:left="28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">
    <w:nsid w:val="6E2134BF"/>
    <w:multiLevelType w:val="hybridMultilevel"/>
    <w:tmpl w:val="6C48764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594"/>
    <w:rsid w:val="00172594"/>
    <w:rsid w:val="00242A49"/>
    <w:rsid w:val="00316E1C"/>
    <w:rsid w:val="0090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F9AC0-BDFE-4BDE-BF4C-C75F754B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259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,(F2) Znak Znak"/>
    <w:basedOn w:val="Normalny"/>
    <w:link w:val="TekstpodstawowyZnak"/>
    <w:rsid w:val="00172594"/>
    <w:pPr>
      <w:spacing w:before="120"/>
      <w:jc w:val="both"/>
    </w:pPr>
    <w:rPr>
      <w:rFonts w:ascii="Arial" w:hAnsi="Arial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17259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Mario">
    <w:name w:val="Mario"/>
    <w:basedOn w:val="Normalny"/>
    <w:link w:val="MarioZnak"/>
    <w:rsid w:val="00172594"/>
    <w:pPr>
      <w:spacing w:line="360" w:lineRule="auto"/>
      <w:jc w:val="both"/>
    </w:pPr>
    <w:rPr>
      <w:rFonts w:ascii="Arial" w:hAnsi="Arial"/>
    </w:rPr>
  </w:style>
  <w:style w:type="character" w:customStyle="1" w:styleId="MarioZnak">
    <w:name w:val="Mario Znak"/>
    <w:link w:val="Mario"/>
    <w:rsid w:val="00172594"/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3389</Words>
  <Characters>20336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Filipowicz</dc:creator>
  <cp:keywords/>
  <dc:description/>
  <cp:lastModifiedBy>Krzysztof Filipowicz</cp:lastModifiedBy>
  <cp:revision>3</cp:revision>
  <dcterms:created xsi:type="dcterms:W3CDTF">2026-01-22T13:06:00Z</dcterms:created>
  <dcterms:modified xsi:type="dcterms:W3CDTF">2026-01-22T13:11:00Z</dcterms:modified>
</cp:coreProperties>
</file>